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3867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the Public Utility Commission of Texas to retain assistance for regional proceedings affecting certain electric utilities and consumers.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1.</w:t>
      </w:r>
      <w:r xml:space="preserve">
        <w:t> </w:t>
      </w:r>
      <w:r xml:space="preserve">
        <w:t> </w:t>
      </w:r>
      <w:r>
        <w:t xml:space="preserve">Subchapter A, Chapter 39, Utilities Code, is amended by adding Section 39.004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39.004.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HIRING ASSISTANCE FOR REGIONAL PROCEEDINGS.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The commission may retain any consultant, accountant, auditor, engineer, or attorney the commission considers necessary to represent the commission in a proceeding before a regional transmission organization, or before a court reviewing proceedings of a regional transmission organization, related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relationship of an electric utility to a power region, regional transmission organization, or independent system operator;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approval of an agreement among an electric utility and the electric utility's affiliates concerning the coordination of the operations of the electric utility and the electric utility's affiliates;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other matters related to an electric utility that may affect the ultimate rates paid by retail customers in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Assistance for which a consultant, accountant, auditor, engineer, or attorney may be retained under Subsection (a) may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conducting a study;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conducting an investigation;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presenting evidence;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advising the commission;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representing the commission.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electric utility that is the subject of the proceeding shall pay timely the reasonable costs of the services of a person retained under Subsection (a), as determined by the commission. </w:t>
      </w:r>
      <w:r>
        <w:rPr>
          <w:u w:val="single"/>
        </w:rPr>
        <w:t xml:space="preserve"> </w:t>
      </w:r>
      <w:r>
        <w:rPr>
          <w:u w:val="single"/>
        </w:rPr>
        <w:t xml:space="preserve">The total costs an electric utility is required to pay under this subsection may not exceed $1.5 million in a 12-month period.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allow an electric utility to  recover both the total costs the electric utility paid under  Subsection (c) and the carrying charges for those costs through a rider established annually to recover the costs paid and carrying charges incurred during the preceding calendar year. </w:t>
      </w:r>
      <w:r>
        <w:rPr>
          <w:u w:val="single"/>
        </w:rPr>
        <w:t xml:space="preserve"> </w:t>
      </w:r>
      <w:r>
        <w:rPr>
          <w:u w:val="single"/>
        </w:rPr>
        <w:t xml:space="preserve">The rider may not be implemented before the rider is reviewed and approved by the commission.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consult the attorney general before the commission retains a consultant, accountant, auditor, or engineer under Subsection (a). </w:t>
      </w:r>
      <w:r>
        <w:rPr>
          <w:u w:val="single"/>
        </w:rPr>
        <w:t xml:space="preserve"> </w:t>
      </w:r>
      <w:r>
        <w:rPr>
          <w:u w:val="single"/>
        </w:rPr>
        <w:t xml:space="preserve">The retention of an attorney under Subsection (a) is subject to the approval of the attorney general under Section 402.0212, Government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be precluded from engaging any individual who is required to register under Section 305.003, Government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expires September 1, 2023.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3867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