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86R13695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3873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Alternatives to Abortion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ALTERNATIVES TO ABORTION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Texas Alternatives to Abortion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(a)  The commission shall establish the Texas Alternatives to Abortion Program to enhance and increase resources that promote childbirth for women facing unplanned pregnancies.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statewide network of service providers, including pregnancy support centers, adoption assistance providers, and maternity homes, to provide the services described by Section 50.0003 under the program.  The commission may contract with the service providers to provide the services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SERVICES.  (a)  Using the statewide network of service providers established under Section 50.0002, the commission shall ensure that program services are available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Services provided under the program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counseling and mentoring;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 coordination for prenatal services, including connecting program participants to health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materials and information about pregnancy and parenting;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referrals to governmental and social service programs, including child care, transportation, housing, and state and federal benefit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classes on life skills, personal finance, parenthood, stress management, job training, job placement, and methods for obtaining high school equivalency certificates;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 of supplies for infant care and pregnancy, including car seats, cribs, maternity clothes, infant diapers, and formula;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support groups in maternity homes.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service providers may not provide family planning services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ELIGIBILITY.  The program is available to a resident of this state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pregnant woman;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biological father of an unborn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biological parent of a child who is 24 months of age or younger;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adoptive parent of a child who is 24 months of age or younger;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prospective adoptive parent of an unborn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former program participant who has experienced the loss of a child;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parent or legal guardian of a pregnant minor who is a program client.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PROVISION OF SERVICES.  The commission and service providers shall provide services under the program based on the needs of the program participants.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50.0006.</w:t>
      </w:r>
      <w:r>
        <w:rPr>
          <w:u w:val="single"/>
        </w:rPr>
        <w:t xml:space="preserve"> </w:t>
      </w:r>
      <w:r>
        <w:rPr>
          <w:u w:val="single"/>
        </w:rPr>
        <w:t xml:space="preserve"> </w:t>
      </w:r>
      <w:r>
        <w:rPr>
          <w:u w:val="single"/>
        </w:rPr>
        <w:t xml:space="preserve">FUNDING.  (a)  The commission shall, to the greatest extent possible, seek federal, governmental, and private funding to supplement and match funding provided 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a service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funding provided to the program to perform, induce, assist, or refer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program funds to an abortion provider or an affiliate of an abortion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