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86R13147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3877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accessibility of open-enrollment charter school annual financial statements.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140.006(c),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officer of a school district shall submit a financial statement prepared under Section 140.005 to a daily, weekly, or biweekly newspaper published within the boundaries of the district. If a daily, weekly, or biweekly newspaper is not published within the boundaries of the school district, the financial statement shall be published in the manner provided by Subsections (a) and (b). The governing body of an open-enrollment charter school shall take action to ensure that the school's financial statement is made available in the manner provided by Chapter 552, Government Code, and is posted continuously on the school's Internet website </w:t>
      </w:r>
      <w:r>
        <w:rPr>
          <w:u w:val="single"/>
        </w:rPr>
        <w:t xml:space="preserve">through a clearly identifiable link that appears in a prominent place on the home page of the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