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86R763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provided to public school students regarding the use of anabolic steroids.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38.0081,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38.0081.</w:t>
      </w:r>
      <w:r xml:space="preserve">
        <w:t> </w:t>
      </w:r>
      <w:r xml:space="preserve">
        <w:t> </w:t>
      </w:r>
      <w:r>
        <w:t xml:space="preserve">INFORMATION ABOUT STEROIDS.  (a)  The [</w:t>
      </w:r>
      <w:r>
        <w:rPr>
          <w:strike/>
        </w:rPr>
        <w:t xml:space="preserve">agency, in conjunction with the</w:t>
      </w:r>
      <w:r>
        <w:t xml:space="preserve">] Department of State Health Services </w:t>
      </w:r>
      <w:r>
        <w:rPr>
          <w:u w:val="single"/>
        </w:rPr>
        <w:t xml:space="preserve">Mental Health and Substance Abuse Division, in conjunction with the University Interscholastic League</w:t>
      </w:r>
      <w:r>
        <w:t xml:space="preserve">,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develop information about the use of anabolic steroids and the health risks involved with such use;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distribute the information to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school district shall, at appropriate grade levels as determined by the </w:t>
      </w:r>
      <w:r>
        <w:rPr>
          <w:u w:val="single"/>
        </w:rPr>
        <w:t xml:space="preserve">Department of State Health Services Mental Health and Substance Abuse Division</w:t>
      </w:r>
      <w:r>
        <w:t xml:space="preserve"> [</w:t>
      </w:r>
      <w:r>
        <w:rPr>
          <w:strike/>
        </w:rPr>
        <w:t xml:space="preserve">State Board of Education</w:t>
      </w:r>
      <w:r>
        <w:t xml:space="preserve">], provide the information developed under Subsection (a) to district students, particularly to those students involved in extracurricular athletic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