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86R764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Wilson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epinephrine auto-injectors in primary and secondary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38.208(c),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executive commissioner of the Health and Human Services Commission, [</w:t>
      </w:r>
      <w:r>
        <w:rPr>
          <w:strike/>
        </w:rPr>
        <w:t xml:space="preserve">in consultation with the commissioner of education, and</w:t>
      </w:r>
      <w:r>
        <w:t xml:space="preserve">] with advice from the advisory committee, shall adopt rules regarding the maintenance, administration, and disposal of an epinephrine auto-injector at a school campus subject to a policy adopted under Subsection (a).</w:t>
      </w:r>
      <w:r xml:space="preserve">
        <w:t> </w:t>
      </w:r>
      <w:r xml:space="preserve">
        <w:t> </w:t>
      </w:r>
      <w:r>
        <w:t xml:space="preserve">The rules must establish: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number of epinephrine auto-injectors available at each campus;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process for each school district, open-enrollment charter school, and private school to check the inventory of epinephrine auto-injectors at regular intervals for expiration and replacement;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amount of training required for school personnel and school volunteers to administer an epinephrine auto-injector.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38.209,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38.209.</w:t>
      </w:r>
      <w:r xml:space="preserve">
        <w:t> </w:t>
      </w:r>
      <w:r xml:space="preserve">
        <w:t> </w:t>
      </w:r>
      <w:r>
        <w:t xml:space="preserve">REPORT ON ADMINISTERING EPINEPHRINE AUTO-INJECTOR.  (a)</w:t>
      </w:r>
      <w:r xml:space="preserve">
        <w:t> </w:t>
      </w:r>
      <w:r xml:space="preserve">
        <w:t> </w:t>
      </w:r>
      <w:r>
        <w:t xml:space="preserve">Not later than the 10th business day after the date a school personnel member or school volunteer administers an epinephrine auto-injector in accordance with a policy adopted under Section 38.208(a), the school shall report the information required under Subsection (b)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school district, the charter holder if the school is an open-enrollment charter school, or the governing body of the school if the school is a private school;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physician or other person who prescribed the epinephrine auto-injector;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the commissioner of education;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>
        <w:t xml:space="preserve">]</w:t>
      </w:r>
      <w:r xml:space="preserve">
        <w:t> </w:t>
      </w:r>
      <w:r xml:space="preserve">
        <w:t> </w:t>
      </w:r>
      <w:r>
        <w:t xml:space="preserve">the commissioner of state health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report required under this section must include the following information: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age of the person who received the administration of the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whether the person who received the administration of the epinephrine auto-injector was a student, a school personnel member or school volunteer, or a visitor;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physical location where the epinephrine auto-injector was administered;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number of doses of epinephrine auto-injector administered;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title of the person who administered the epinephrine auto-injector;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any other information required by the commissioner of </w:t>
      </w:r>
      <w:r>
        <w:rPr>
          <w:u w:val="single"/>
        </w:rPr>
        <w:t xml:space="preserve">state health services</w:t>
      </w:r>
      <w:r>
        <w:t xml:space="preserve"> [</w:t>
      </w:r>
      <w:r>
        <w:rPr>
          <w:strike/>
        </w:rPr>
        <w:t xml:space="preserve">education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38.214,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38.214.</w:t>
      </w:r>
      <w:r xml:space="preserve">
        <w:t> </w:t>
      </w:r>
      <w:r xml:space="preserve">
        <w:t> </w:t>
      </w:r>
      <w:r>
        <w:t xml:space="preserve">RULES. </w:t>
      </w:r>
      <w:r>
        <w:t xml:space="preserve"> </w:t>
      </w:r>
      <w:r>
        <w:rPr>
          <w:u w:val="single"/>
        </w:rPr>
        <w:t xml:space="preserve">The</w:t>
      </w:r>
      <w:r>
        <w:t xml:space="preserve"> </w:t>
      </w:r>
      <w:r>
        <w:t xml:space="preserve">[</w:t>
      </w:r>
      <w:r>
        <w:rPr>
          <w:strike/>
        </w:rPr>
        <w:t xml:space="preserve">Except as otherwise provided by this subchapter, the commissioner of education and the</w:t>
      </w:r>
      <w:r>
        <w:t xml:space="preserve">] executive commissioner of the Health and Human Services Commission shall [</w:t>
      </w:r>
      <w:r>
        <w:rPr>
          <w:strike/>
        </w:rPr>
        <w:t xml:space="preserve">jointly</w:t>
      </w:r>
      <w:r>
        <w:t xml:space="preserve">] adopt rules necessary to implement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