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86R772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3883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development of the form for the annual immunization status report by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38.002(c),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strike/>
        </w:rPr>
        <w:t xml:space="preserve">Texas Education Agency and the Texas</w:t>
      </w:r>
      <w:r>
        <w:t xml:space="preserve">] Department of </w:t>
      </w:r>
      <w:r>
        <w:rPr>
          <w:u w:val="single"/>
        </w:rPr>
        <w:t xml:space="preserve">State</w:t>
      </w:r>
      <w:r>
        <w:t xml:space="preserve"> Health </w:t>
      </w:r>
      <w:r>
        <w:rPr>
          <w:u w:val="single"/>
        </w:rPr>
        <w:t xml:space="preserve">Services</w:t>
      </w:r>
      <w:r>
        <w:t xml:space="preserve"> shall develop the form for a required annual report of the immunization status of students.  The report shall be submitted by all schools at the time and in the manner indicated in the instructions printed on the form.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