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86R12748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counties and municipalities to lower speed limits on certain highways.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545.355(b),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may declare a lower speed limit of not less than: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30 miles per hour on a county road or highway to which this section applies, if the commissioners court determines that the prima facie speed limit on the road or highway is unreasonable or unsafe;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20</w:t>
      </w:r>
      <w:r>
        <w:t xml:space="preserve">] miles per hour in a residence district, unless the roadway has been designated as a major thoroughfare by a </w:t>
      </w:r>
      <w:r>
        <w:rPr>
          <w:u w:val="single"/>
        </w:rPr>
        <w:t xml:space="preserve">municipal</w:t>
      </w:r>
      <w:r>
        <w:t xml:space="preserve"> [</w:t>
      </w:r>
      <w:r>
        <w:rPr>
          <w:strike/>
        </w:rPr>
        <w:t xml:space="preserve">city</w:t>
      </w:r>
      <w:r>
        <w:t xml:space="preserve">] planning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545.356(b-1),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Except as provided by Subsection (b-3), the governing body of a municipality, for a highway or a part of a highway in the municipality that is not an officially designated or marked highway or road of the state highway system, may declare a lower speed limit of not less than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25 miles per hour </w:t>
      </w:r>
      <w:r>
        <w:rPr>
          <w:u w:val="single"/>
        </w:rPr>
        <w:t xml:space="preserve">for a two-lane, undivided highway or part of a highway</w:t>
      </w:r>
      <w:r>
        <w:t xml:space="preserve">, if the governing body determines that the prima facie speed limit on the highway is unreasonable or unsafe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 miles per hour in a residence district, unless the roadway has been designated as a major thoroughfare by a municipal planning commission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545.356(b-2),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