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86R25926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3904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3904:</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C.S.H.B.</w:t>
      </w:r>
      <w:r xml:space="preserve">
        <w:t> </w:t>
      </w:r>
      <w:r>
        <w:t xml:space="preserve">No.</w:t>
      </w:r>
      <w:r xml:space="preserve">
        <w:t> </w:t>
      </w:r>
      <w:r>
        <w:t xml:space="preserve">3904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accountability, including certain performance standards and sanctions, and to providing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ACCOUNTABILITY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11.174(f),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subject to a contract described by Subsection (a) that received an overall performance rating of unacceptable under Subchapter C, Chapter 39, for the school year before operation of the district campus under the contract began. </w:t>
      </w:r>
      <w:r>
        <w:t xml:space="preserve"> </w:t>
      </w:r>
      <w:r>
        <w:t xml:space="preserve">The commissioner may not impose a sanction or take action against the campus under </w:t>
      </w:r>
      <w:r>
        <w:rPr>
          <w:u w:val="single"/>
        </w:rPr>
        <w:t xml:space="preserve">Chapter 39A</w:t>
      </w:r>
      <w:r>
        <w:t xml:space="preserve"> </w:t>
      </w:r>
      <w:r>
        <w:t xml:space="preserve">[</w:t>
      </w:r>
      <w:r>
        <w:rPr>
          <w:strike/>
        </w:rPr>
        <w:t xml:space="preserve">Section 39.107(a) or (e)</w:t>
      </w:r>
      <w:r>
        <w:t xml:space="preserve">] for failure to satisfy academic performance standards during the first two school years of operation of a district campus under Subsection (a). </w:t>
      </w:r>
      <w:r>
        <w:t xml:space="preserve"> </w:t>
      </w:r>
      <w:r>
        <w:t xml:space="preserve">The overall performance rating received by the campus during those first two school years is not included in calculating consecutive school years and is not considered a break in consecutive school years under </w:t>
      </w:r>
      <w:r>
        <w:rPr>
          <w:u w:val="single"/>
        </w:rPr>
        <w:t xml:space="preserve">Chapter 39A. </w:t>
      </w:r>
      <w:r>
        <w:rPr>
          <w:u w:val="single"/>
        </w:rPr>
        <w:t xml:space="preserve"> </w:t>
      </w:r>
      <w:r>
        <w:rPr>
          <w:u w:val="single"/>
        </w:rPr>
        <w:t xml:space="preserve">The performance of a campus subject to this subsection may not be included in determining the performance of the district during the period the campus is exempt from sanctions under Chapter 39A</w:t>
      </w:r>
      <w:r>
        <w:t xml:space="preserve"> [</w:t>
      </w:r>
      <w:r>
        <w:rPr>
          <w:strike/>
        </w:rPr>
        <w:t xml:space="preserve">Section 39.107(a) or (e)</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only to an assessment instrument authorized under Section 39.025(a-2) for use as a substitute assessment instrument for purposes of satisfying the requirements concerning an end-of-course assessment instrument.  The commissioner shall designate for student performance on each substitute assessment instrument subject to this subsection a level of performance considered to be satisfactory and a level of performance necessary to indicate college readiness in the same manner as the commissioner designates those standards for student performance on each end-of-course assessment instrument listed in Section 39.023(c).  The commissioner shall designate the level of performance that indicates college readiness on a substitute assessment as "masters grade-level performance."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w:t>
      </w:r>
      <w:r>
        <w:rPr>
          <w:u w:val="single"/>
        </w:rPr>
        <w:t xml:space="preserve">a three-hour</w:t>
      </w:r>
      <w:r>
        <w:t xml:space="preserve"> </w:t>
      </w:r>
      <w:r>
        <w:t xml:space="preserve">[</w:t>
      </w:r>
      <w:r>
        <w:rPr>
          <w:strike/>
        </w:rPr>
        <w:t xml:space="preserve">dual</w:t>
      </w:r>
      <w:r>
        <w:t xml:space="preserve">] course </w:t>
      </w:r>
      <w:r>
        <w:rPr>
          <w:u w:val="single"/>
        </w:rPr>
        <w:t xml:space="preserve">credit</w:t>
      </w:r>
      <w:r>
        <w:t xml:space="preserve"> </w:t>
      </w:r>
      <w:r>
        <w:t xml:space="preserve">[</w:t>
      </w:r>
      <w:r>
        <w:rPr>
          <w:strike/>
        </w:rPr>
        <w:t xml:space="preserve">credits</w:t>
      </w:r>
      <w:r>
        <w:t xml:space="preserve">] in </w:t>
      </w:r>
      <w:r>
        <w:rPr>
          <w:u w:val="single"/>
        </w:rPr>
        <w:t xml:space="preserve">a</w:t>
      </w:r>
      <w:r>
        <w:t xml:space="preserve"> </w:t>
      </w:r>
      <w:r>
        <w:t xml:space="preserve">[</w:t>
      </w:r>
      <w:r>
        <w:rPr>
          <w:strike/>
        </w:rPr>
        <w:t xml:space="preserve">the</w:t>
      </w:r>
      <w:r>
        <w:t xml:space="preserve">] dual credit </w:t>
      </w:r>
      <w:r>
        <w:rPr>
          <w:u w:val="single"/>
        </w:rPr>
        <w:t xml:space="preserve">course in any subject</w:t>
      </w:r>
      <w:r>
        <w:t xml:space="preserve"> </w:t>
      </w:r>
      <w:r>
        <w:t xml:space="preserve">[</w:t>
      </w:r>
      <w:r>
        <w:rPr>
          <w:strike/>
        </w:rPr>
        <w:t xml:space="preserve">courses</w:t>
      </w:r>
      <w:r>
        <w:t xml:space="preserve">];</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w:t>
      </w:r>
      <w:r>
        <w:rPr>
          <w:u w:val="single"/>
        </w:rPr>
        <w:t xml:space="preserve">complete coherent sequences of courses required to</w:t>
      </w:r>
      <w:r>
        <w:t xml:space="preserve"> </w:t>
      </w:r>
      <w:r>
        <w:t xml:space="preserve">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t xml:space="preserve">[</w:t>
      </w:r>
      <w:r>
        <w:rPr>
          <w:strike/>
        </w:rPr>
        <w:t xml:space="preserve">associate's</w:t>
      </w:r>
      <w:r>
        <w:t xml:space="preserve">] degree;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 and</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ninth grade students who are academically on track to graduate with their ninth grade cohort;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evaluating the performance of middle and junior high school and elementary school campuses and districts that include those campuses, indicators that account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students who participate in full-day prekindergarten programs;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students  who participate in elementary literacy and mathematics academies;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students who participate in extracurricular activities, including University Interscholastic League A+ academic events and foreign language, chess, and robotics clubs;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39.053,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commissioner shall determine a method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student's performance under Subsection (c)(1)(B)(v) may be included in determining the performance of a district or campus under Section 39.054 if the student successfully completed the courses but did not receive the industry certification until after the student graduated;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student's performance described by Subdivision (1) is assigned equal credit under the college, career, and military readiness component calculation as a student who earned an industry certification before the student graduated.</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39.054,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For purposes of assigning each district and campus  a domain performance rating under Section 39.053(c), the commissioner may not attribute more than 50 percent of any domain performance rating to the results of assessment instruments required under Sections 39.023(a), (b), (c), and (l).</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For purposes of assigning each district and campus  a domain performance rating for the student achievement domain under Section 39.053(c)(1), the commissioner shall attribute: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percent of the performance rating to the indicators under Section 39.053(c)(1)(A) relating to assessment instrument results;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performance rating to the indicator under Section 39.053(c)(1)(B)(ix) relating to high school graduation rates;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30 percent of the performance rating to the indicators under Section 39.053(c)(1)(B) relating to college, career, and military readiness.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39.0548, Education Code, is amended by amending Subsections (a) and (d) and adding Subsections (a-1), (e), (f), (g), and (h)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performance of a dropout recovery school under the student achievement domain under Section 39.053(c)(1) and assigning a domain performance rating under Section 39.054, the commissioner shall consider student performance based only on the "approaches grade level" performance standard.  Any evaluation of student performance based on a higher performance standard may not be considered to negatively affect the domain performance rating or a performance target score of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evaluating performance of a dropout recovery school under the school progress domain under Section 39.053(c)(2) and assigning a domain performance rating under Section 39.054, the commissioner shall award credit for academic growth based only on a student reaching the "approaches grade level" performance standard.  Any evaluation of student performance based on reaching a higher academic growth performance standard may not be considered to negatively affect the amount of credit awarded to the school or the domain performance rating or a performance target score of the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assigning an overall performance rating for a dropout recovery school under Section 39.054, the commissioner shall consider only the school's domain performance ratings under the student achievement domain under Section 39.053(c)(1) or the school progress domain under Section 39.053(c)(2).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performance of a dropout recovery school under the closing the gaps domain under Section 39.053(c)(3) shall be used for reporting purposes only.</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This article applies beginning with the 2020-2021 school year.</w:t>
      </w:r>
    </w:p>
    <w:p w:rsidR="003F3435" w:rsidRDefault="0032493E">
      <w:pPr>
        <w:spacing w:line="480" w:lineRule="auto"/>
        <w:jc w:val="center"/>
      </w:pPr>
      <w:r>
        <w:t xml:space="preserve">ARTICLE 2. INDIVIDUAL GRADUATION COMMITTEES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39.025(a-2), Education Code, as added by Chapter 5 (S.B. 149), Acts of the 84th Legislature, Regular Session, 2015, is redesignated as Section 39.025(a-5),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28.02541(g), 28.0258(l), and 28.0259(e), Education Code, are repealed.</w:t>
      </w:r>
    </w:p>
    <w:p w:rsidR="003F3435" w:rsidRDefault="0032493E">
      <w:pPr>
        <w:spacing w:line="480" w:lineRule="auto"/>
        <w:jc w:val="center"/>
      </w:pPr>
      <w:r>
        <w:t xml:space="preserve">ARTICLE 3. CONFLICTS PROVISION;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