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86R27798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3906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3906:</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3906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assessment instruments used to assess the performance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amending Subsections (a-12), (a-13), (b-1), (c), and (c-3) and adding Subsections (a-14) and (c-7) to read as follows:</w:t>
      </w:r>
    </w:p>
    <w:p w:rsidR="003F3435" w:rsidRDefault="0032493E">
      <w:pPr>
        <w:spacing w:line="480" w:lineRule="auto"/>
        <w:ind w:firstLine="720"/>
        <w:jc w:val="both"/>
      </w:pPr>
      <w:r>
        <w:t xml:space="preserve">(a-12)</w:t>
      </w:r>
      <w:r xml:space="preserve">
        <w:t> </w:t>
      </w:r>
      <w:r xml:space="preserve">
        <w:t> </w:t>
      </w:r>
      <w:r>
        <w:t xml:space="preserve">An assessment instrument adopted or developed under Subsection (a)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through five,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120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six through eight,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180 minutes.</w:t>
      </w:r>
    </w:p>
    <w:p w:rsidR="003F3435" w:rsidRDefault="0032493E">
      <w:pPr>
        <w:spacing w:line="480" w:lineRule="auto"/>
        <w:ind w:firstLine="720"/>
        <w:jc w:val="both"/>
      </w:pPr>
      <w:r>
        <w:t xml:space="preserve">(a-13)</w:t>
      </w:r>
      <w:r xml:space="preserve">
        <w:t> </w:t>
      </w:r>
      <w:r xml:space="preserve">
        <w:t> </w:t>
      </w:r>
      <w:r>
        <w:t xml:space="preserve">The amount of time allowed for administration of an assessment instrument adopted or developed under Subsection (a) may not exceed eight hours, and the administration may occur </w:t>
      </w:r>
      <w:r>
        <w:rPr>
          <w:u w:val="single"/>
        </w:rPr>
        <w:t xml:space="preserve">in multiple parts over more than</w:t>
      </w:r>
      <w:r>
        <w:t xml:space="preserve"> [</w:t>
      </w:r>
      <w:r>
        <w:rPr>
          <w:strike/>
        </w:rPr>
        <w:t xml:space="preserve">on only</w:t>
      </w:r>
      <w:r>
        <w:t xml:space="preserve">] one day.</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Subsections (a-12) and (a-13) do not apply to a classroom portfolio method used to assess writing performance.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 xml:space="preserve">A classroom portfolio method used to assess writing performance may require a teacher to prepare tasks and materials</w:t>
      </w:r>
      <w:r>
        <w:t xml:space="preserve"> [</w:t>
      </w:r>
      <w:r>
        <w:rPr>
          <w:strike/>
        </w:rPr>
        <w:t xml:space="preserve">Assessment instruments adopted or developed under this subsection shall be administered not later than the 2014-2015 school year</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  The Algebra I end-of-course assessment instrument must be administered with the aid of technology.  The English I and English II end-of-course assessment instruments must each assess essential knowledge and skills in both reading and writing [</w:t>
      </w:r>
      <w:r>
        <w:rPr>
          <w:strike/>
        </w:rPr>
        <w:t xml:space="preserve">in the same assessment instrument</w:t>
      </w:r>
      <w:r>
        <w:t xml:space="preserve">]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w:t>
      </w:r>
      <w:r>
        <w:rPr>
          <w:u w:val="single"/>
        </w:rPr>
        <w:t xml:space="preserve">An end-of-course assessment instrument may be administered in multiple parts over more than one day</w:t>
      </w:r>
      <w:r>
        <w:t xml:space="preserve"> [</w:t>
      </w:r>
      <w:r>
        <w:rPr>
          <w:strike/>
        </w:rPr>
        <w:t xml:space="preserve">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rPr>
          <w:u w:val="single"/>
        </w:rPr>
        <w:t xml:space="preserve">Except as provided by Subsection (c-7), in</w:t>
      </w:r>
      <w:r>
        <w:t xml:space="preserve"> [</w:t>
      </w:r>
      <w:r>
        <w:rPr>
          <w:strike/>
        </w:rPr>
        <w:t xml:space="preserve">In</w:t>
      </w:r>
      <w:r>
        <w:t xml:space="preserve">] adopting a schedule for the administration of assessment instruments under this section, the State Board of Education shall require:</w:t>
      </w:r>
    </w:p>
    <w:p w:rsidR="003F3435" w:rsidRDefault="0032493E">
      <w:pPr>
        <w:spacing w:line="480" w:lineRule="auto"/>
        <w:ind w:firstLine="1440"/>
        <w:jc w:val="both"/>
      </w:pPr>
      <w:r>
        <w:t xml:space="preserve">(1)</w:t>
      </w:r>
      <w:r xml:space="preserve">
        <w:t> </w:t>
      </w:r>
      <w:r xml:space="preserve">
        <w:t> </w:t>
      </w:r>
      <w: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(2)</w:t>
      </w:r>
      <w:r xml:space="preserve">
        <w:t> </w:t>
      </w:r>
      <w:r xml:space="preserve">
        <w:t> </w:t>
      </w:r>
      <w: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Subsection (c-3) does not apply to a classroom portfolio method used to assess writing performance if student performance under that method is less than 50 percent of a student's overall assessed performance in writing.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education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