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reports submitted to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2052.0021,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 law that requires a state agency to submit a report to the legislature for an indefinite period,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submit the report to the legislature after the 10th anniversary of the date the state agency first submitted the report to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state in each report submitted under the law requiring the report the date after which the agency is not required to submit the report to the legislature as provided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