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Alvarado)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3913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25,</w:t>
      </w:r>
      <w:r xml:space="preserve">
        <w:t> </w:t>
      </w:r>
      <w:r>
        <w:t xml:space="preserve">2019, read first time and referred to Committee on Business &amp; Commerce;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an exception from required disclosure under the public information law for certain personal information obtained by certain flood control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552, Government Code, is amended by adding Section 552.159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552.159.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EXCEPTION: CERTAIN PERSONAL INFORMATION OBTAINED BY FLOOD CONTROL DISTRICT. The following information obtained by a flood control district located in a county with a population of 3.3 million or more in connection with operations related to a declared disaster or flooding is excepted from the requirements of Section 552.021: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person's name;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home address;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business address;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home telephone number;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mobile telephone number;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electronic mail address;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social media account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social security number.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552.159, Government Code, as added by this Act, applies only to a request for public information received on or after the effective date of this Act. </w:t>
      </w:r>
      <w:r>
        <w:t xml:space="preserve"> </w:t>
      </w:r>
      <w:r>
        <w:t xml:space="preserve">A request received before that date is governed by the law in effect when the request was received, and the former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