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86R12130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3921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contracting requirements for the provision of broadband Internet access service to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2252, Government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CONTRACTS WITH CERTAIN INTERNET SERVICE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2252.221.</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Internet access service" means service, other than dial-up Internet access service,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mass-market retail Internet access service provided by wire or radio that enables a person to transmit and receive data between the person's customer premises equipment, including mobile devices, and substantially all Internet endpoints;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service that is incidental to or that enables the operation of the service described in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Internet access service provider" means a person that provides broadband Internet access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w:t>
      </w:r>
      <w:r>
        <w:rPr>
          <w:u w:val="single"/>
        </w:rPr>
        <w:t xml:space="preserve"> </w:t>
      </w:r>
      <w:r>
        <w:rPr>
          <w:u w:val="single"/>
        </w:rPr>
        <w:t xml:space="preserve">has the meaning assigned by Section 2252.001.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"Paid prioritization" means a broadband Internet access service provider's management of its network to directly or indirectly favor certain traffic over other traffic, including through traffic shaping, prioritization, resource reservation, or other forms of preferential traffic management, either in exchange for consideration from a third party or to benefit an affiliated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broadband Internet access service includes the functional equivalent of a service described by Subsection (a)(1)(A) as determined by the Department of Information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2252.222.</w:t>
      </w:r>
      <w:r>
        <w:rPr>
          <w:u w:val="single"/>
        </w:rPr>
        <w:t xml:space="preserve"> </w:t>
      </w:r>
      <w:r>
        <w:rPr>
          <w:u w:val="single"/>
        </w:rPr>
        <w:t xml:space="preserve"> </w:t>
      </w:r>
      <w:r>
        <w:rPr>
          <w:u w:val="single"/>
        </w:rPr>
        <w:t xml:space="preserve">MANAGEMENT. </w:t>
      </w:r>
      <w:r>
        <w:rPr>
          <w:u w:val="single"/>
        </w:rPr>
        <w:t xml:space="preserve"> </w:t>
      </w:r>
      <w:r>
        <w:rPr>
          <w:u w:val="single"/>
        </w:rPr>
        <w:t xml:space="preserve">For purposes of Section 2252.223, an activity described by Section 2252.223(1) or (2) does not include reasonable network management. </w:t>
      </w:r>
      <w:r>
        <w:rPr>
          <w:u w:val="single"/>
        </w:rPr>
        <w:t xml:space="preserve"> </w:t>
      </w:r>
      <w:r>
        <w:rPr>
          <w:u w:val="single"/>
        </w:rPr>
        <w:t xml:space="preserve">A practice is considered to be reasonable network management if the practice: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technical network management justification;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other business practices;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tailored to achieve a legitimate network management purpose, taking into account the particular network architecture and technology of the broadband Internet access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2252.223.</w:t>
      </w:r>
      <w:r>
        <w:rPr>
          <w:u w:val="single"/>
        </w:rPr>
        <w:t xml:space="preserve"> </w:t>
      </w:r>
      <w:r>
        <w:rPr>
          <w:u w:val="single"/>
        </w:rPr>
        <w:t xml:space="preserve"> </w:t>
      </w:r>
      <w:r>
        <w:rPr>
          <w:u w:val="single"/>
        </w:rPr>
        <w:t xml:space="preserve">REQUIREMENTS FOR CONTRACTS WITH PROVIDERS.  A governmental entity may not contract with a broadband Internet access service provider unless the contract contains a written verification from the provider that the provider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block lawful content, applications, or services or the use of non-harmful devices;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impair or degrade lawful Internet traffic for the purpose of discriminating against or favoring certain Internet content, applications, or services or the use of non-harmful devices;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in paid prioritization.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2252.224.</w:t>
      </w:r>
      <w:r>
        <w:rPr>
          <w:u w:val="single"/>
        </w:rPr>
        <w:t xml:space="preserve"> </w:t>
      </w:r>
      <w:r>
        <w:rPr>
          <w:u w:val="single"/>
        </w:rPr>
        <w:t xml:space="preserve"> </w:t>
      </w:r>
      <w:r>
        <w:rPr>
          <w:u w:val="single"/>
        </w:rPr>
        <w:t xml:space="preserve">ENFORCEMENT.  The attorney general may bring any action necessary to enforce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contract entered into on or after the effective date of this Act. A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