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minimum wage.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62.051,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62.051.</w:t>
      </w:r>
      <w:r xml:space="preserve">
        <w:t> </w:t>
      </w:r>
      <w:r xml:space="preserve">
        <w:t> </w:t>
      </w:r>
      <w:r>
        <w:t xml:space="preserve">MINIMUM WAGE.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Except as provided by Section 62.057, an employer shall pay to each employee </w:t>
      </w:r>
      <w:r>
        <w:rPr>
          <w:u w:val="single"/>
        </w:rPr>
        <w:t xml:space="preserve">not less  than the greater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$15 an hour;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federal minimum wage under Section 6, Fair Labor Standards Act of 1938 (29 U.S.C. Section 206).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to wages paid by an employer for the 2020, 2021, 2022, 2023, and 2024 calendar years. </w:t>
      </w:r>
      <w:r>
        <w:rPr>
          <w:u w:val="single"/>
        </w:rPr>
        <w:t xml:space="preserve"> </w:t>
      </w:r>
      <w:r>
        <w:rPr>
          <w:u w:val="single"/>
        </w:rPr>
        <w:t xml:space="preserve">Subsection (a) does not apply in a year to which this subsection applies.  Except as provided by Section 62.057: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2020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$9.25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2021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$10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2022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$12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2023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$13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2024 calendar year, an employer shall pay to each employee not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$14 an hour;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minimum wage under Section 6, Fair Labor Standards Act of 1938 (29 U.S.C. Section 206).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and this subsection expire January 1, 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62.151, Labor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