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86R7849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H.B.</w:t>
      </w:r>
      <w:r xml:space="preserve">
        <w:t> </w:t>
      </w:r>
      <w:r>
        <w:t xml:space="preserve">No.</w:t>
      </w:r>
      <w:r xml:space="preserve">
        <w:t> </w:t>
      </w:r>
      <w:r>
        <w:t xml:space="preserve">3926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the criminal offenses of obtaining medical treatment by deception for a child, elderly individual, or disabled individual and continuous abuse of a child, elderly individual, or disabled individual.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Alyssa's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22, Penal Code, is amended by adding Sections 22.042 and 22.043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22.042.</w:t>
      </w:r>
      <w:r>
        <w:rPr>
          <w:u w:val="single"/>
        </w:rPr>
        <w:t xml:space="preserve"> </w:t>
      </w:r>
      <w:r>
        <w:rPr>
          <w:u w:val="single"/>
        </w:rPr>
        <w:t xml:space="preserve"> </w:t>
      </w:r>
      <w:r>
        <w:rPr>
          <w:u w:val="single"/>
        </w:rPr>
        <w:t xml:space="preserve">OBTAINING MEDICAL TREATMENT BY DECEPTION FOR CHILD, ELDERLY INDIVIDUAL, OR DISABLED INDIVIDUAL.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"disabled individual," and "elderly individual" have the meanings assigned by Section 22.04.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 history" includes any oral or written communication regarding an individual's current or previous symptoms, diagnoses, or family medical history.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treatment" includes a prescription for a controlled substance or other medication, an injection, inpatient or outpatient surgery, or other medical care occurring under the direction of or by a licensed physician.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intentionally provides false medical history to medical personnel to obtain medical treatment for a child, elderly individual, or disabled individual.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22.043.</w:t>
      </w:r>
      <w:r>
        <w:rPr>
          <w:u w:val="single"/>
        </w:rPr>
        <w:t xml:space="preserve"> </w:t>
      </w:r>
      <w:r>
        <w:rPr>
          <w:u w:val="single"/>
        </w:rPr>
        <w:t xml:space="preserve"> </w:t>
      </w:r>
      <w:r>
        <w:rPr>
          <w:u w:val="single"/>
        </w:rPr>
        <w:t xml:space="preserve">CONTINUOUS ABUSE OF CHILD, ELDERLY INDIVIDUAL, OR DISABLED INDIVIDUAL. </w:t>
      </w:r>
      <w:r>
        <w:rPr>
          <w:u w:val="single"/>
        </w:rPr>
        <w:t xml:space="preserve"> </w:t>
      </w:r>
      <w:r>
        <w:rPr>
          <w:u w:val="single"/>
        </w:rPr>
        <w:t xml:space="preserve">(a) </w:t>
      </w:r>
      <w:r>
        <w:rPr>
          <w:u w:val="single"/>
        </w:rPr>
        <w:t xml:space="preserve"> </w:t>
      </w:r>
      <w:r>
        <w:rPr>
          <w:u w:val="single"/>
        </w:rPr>
        <w:t xml:space="preserve">A person commits an offense if, during a period that is 30 or more days but less than five years in duration, the person engages two or more times in conduct that constitutes an offense under Section 22.04 or 22.042 against one or more victims.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jury is the trier of fact, members of the jury are not required to agree unanimously on which specific conduct engaged in by the defendant constituted an offense under Section 22.04 or 22.042 or on which exact date the defendant engaged in that conduct. </w:t>
      </w:r>
      <w:r>
        <w:rPr>
          <w:u w:val="single"/>
        </w:rPr>
        <w:t xml:space="preserve"> </w:t>
      </w:r>
      <w:r>
        <w:rPr>
          <w:u w:val="single"/>
        </w:rPr>
        <w:t xml:space="preserve">The jury must agree unanimously that the defendant, during a period that is 30 or more days but less than five years in duration, engaged two or more times in conduct that constituted an offense under Section 22.04 or 22.042.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victim of an offense under Subsection (a) is the same victim as a victim of an offense under Section 22.04 or 22.042, a defendant may not be convicted of the offense under Section 22.04 or 22.042 in the same criminal action as the offense under Subsection (a), unless the offense under Section 22.04 or 22.042: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charged in the alternative;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occurred outside the period in which the offense alleged under Subsection (a) was committed;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considered by the trier of fact to be a lesser included offense of the offense alleged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defendant may not be charged with more than one count under Subsection (a) if all of the conduct that constitutes an offense under Section 22.04 or 22.042 is alleged to have been committed against the same victim.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under this section is a felony of the second degree.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