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86R12479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3939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exercise of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exercise of the power of eminent domain granted under the provisions of Subsection (a), a common carrier shall make a good faith effort to negotiate with the owner of property sought to be condemned with regard to the particular route or location of the pipeline or incidental facility on the owner's property.  The requirement to negotiate provided 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construed to allow an owner of property to unreasonably refuse to agree to a particular route proposed by the common carrier or to negotiate a route or location of a pipeline or incidental facility on property not owned by the property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presumed to be satisfied if the common carrier or its employees, contractors, agents, or assigns contact the property owner in person, by telephone, or through certified mail, return receipt requested, and the property owner does not respond before the 15th day after the date of contact.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obtain from the property owner a written authorization for the right to enter the property.  A written authorization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unreasonably refused by a property owner;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notice before entering the property under the authorization;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the authorized access to be at a time that is agreeable to both the common carrier and the property owner;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limit the right of entry to only the portion of the property that is affected by the proposed pipeline;</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limit the right of entry to the purpose of conducting surveys;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prohibit the cutting, removal, or relocation of a fence for the purpose of conducting the survey without the prompt restoration or repair of the fence;</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require the restoration of property to be as close as possible to the original condition before entry;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require all equipment and tools used in the survey to be removed by a certain date;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require the common carrier or its employees, contractors, agents, or assigns to promptly repair or remediate any damage caused by the common carrier or its employees, contractors, agents, or assigns while on the property;</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 an indemnification provision in favor of the property owner;</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require that the property owner, on written request, be provided, at no charge, all non-privileged information gathered from the entry, including surveys, reports, maps, and photographs;  and</w:t>
      </w:r>
      <w:r>
        <w:t xml:space="preserve"> </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provide for an expiration date for the authorization.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