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86R14280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online adult high school diploma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29.0871.</w:t>
      </w:r>
      <w:r>
        <w:rPr>
          <w:u w:val="single"/>
        </w:rPr>
        <w:t xml:space="preserve"> </w:t>
      </w:r>
      <w:r>
        <w:rPr>
          <w:u w:val="single"/>
        </w:rPr>
        <w:t xml:space="preserve"> </w:t>
      </w:r>
      <w:r>
        <w:rPr>
          <w:u w:val="single"/>
        </w:rPr>
        <w:t xml:space="preserve">ONLINE ADULT HIGH SCHOOL DIPLOMA PROGRAMS.  (a) </w:t>
      </w:r>
      <w:r>
        <w:rPr>
          <w:u w:val="single"/>
        </w:rPr>
        <w:t xml:space="preserve"> </w:t>
      </w:r>
      <w:r>
        <w:rPr>
          <w:u w:val="single"/>
        </w:rPr>
        <w:t xml:space="preserve">The agency shall develop a process by which an eligible provider may apply to the commissioner for authority to operate an online adult high school diploma program for eligible students to obtain a high school diploma. </w:t>
      </w:r>
      <w:r>
        <w:rPr>
          <w:u w:val="single"/>
        </w:rPr>
        <w:t xml:space="preserve"> </w:t>
      </w:r>
      <w:r>
        <w:rPr>
          <w:u w:val="single"/>
        </w:rPr>
        <w:t xml:space="preserve">An eligible provider must be accredited by a research-based, nationally recognized, and universally accessible accreditation system approved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eligible provider may apply for authorization to operate an online adult high school diploma program under this section. As part of the application process, the commissioner shall require an eligible provider to provide information regarding the operation of any similar program during the preceding five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eligible to participate in an online adult high school diploma program authorized under this section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19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unable to satisfy the high school graduation requirements in place at the time the student would have normally graduated from high school;</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unable to satisfy the high school graduation requirements of any other program offered under this title;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meets any other requirements as determined by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participating in an online adult high school diploma program authorized under this section must have taken the appropriate end-of-course assessment instruments specified by Section 39.023(c) before entering the program and must take each appropriate end-of-course assessment instrument administered during the period in which the student is enrolled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enrolled in an online adult high school diploma program authorized under this section may not participate in a competition or other activity sanctioned or conducted by the University Interscholastic League.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who enrolls in an online adult high school diploma program authorized under this section is entitled to the benefits of the Foundation School Program under Section 42.003 in the same manner as any other student who has not received a high school diploma.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funding under Chapters 41, 42, and 46, a student attending an online adult high school diploma program authorized under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revoke a provider's authorization to operate an online adult high school diploma program under this section after consideration of relevant factors, including student performance on assessment instruments required under Chapter 39, the percentage of students who complete the program and earn a high school diploma, and other criteria adopted by the commissioner. </w:t>
      </w:r>
      <w:r>
        <w:rPr>
          <w:u w:val="single"/>
        </w:rPr>
        <w:t xml:space="preserve"> </w:t>
      </w:r>
      <w:r>
        <w:rPr>
          <w:u w:val="single"/>
        </w:rPr>
        <w:t xml:space="preserve">A decision by the commissioner under this subsection is final and may not be appealed.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adopt rules necessary to implement Section 29.0871,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