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86R13777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Morales</w:t>
      </w:r>
      <w:r xml:space="preserve">
        <w:tab wTab="150" tlc="none" cTlc="0"/>
      </w:r>
      <w:r>
        <w:t xml:space="preserve">H.B.</w:t>
      </w:r>
      <w:r xml:space="preserve">
        <w:t> </w:t>
      </w:r>
      <w:r>
        <w:t xml:space="preserve">No.</w:t>
      </w:r>
      <w:r xml:space="preserve">
        <w:t> </w:t>
      </w:r>
      <w:r>
        <w:t xml:space="preserve">3942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program to assist small businesses by increasing access to capital.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SMALL BUSINESS CAPITAL ACCESS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access loan" has the meaning assigned by Section 481.401.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small business capital access program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PROGRAM FUNDING; PURPOSE.  (a) The program shall be funded by direct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small businesses to create jobs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PROGRAM ADMINISTRATION.  The community development financial institution administering the program shall provide capital access loans to small businesses that face barriers in accessing capital. </w:t>
      </w:r>
      <w:r>
        <w:rPr>
          <w:u w:val="single"/>
        </w:rPr>
        <w:t xml:space="preserve"> </w:t>
      </w:r>
      <w:r>
        <w:rPr>
          <w:u w:val="single"/>
        </w:rPr>
        <w:t xml:space="preserve">The institution administering the program shall give special emphasis to small businesses that have difficulty in accessing capital.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businesses that have received capital access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loans made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REPORT.  The bank shall issue an annual status report on the program.  The bank shall deliver its report to the governor, the lieutenant governor, the speaker of the house, and the standing committees of the legislature with primary jurisdiction for small business and economic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