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86R13777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3942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program to assist small businesses by increasing access to capital.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SMALL BUSINESS CAPITAL ACCESS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"Capital access loan" has the meaning assigned by Section 481.401.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"Default rate" means the percentage of loans made that did not meet the payment terms during a period specified by the bank.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small business capital access program established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PROGRAM FUNDING; PURPOSE.  (a) The program shall be funded by direct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expand access to capital for small businesses to create jobs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481.453.</w:t>
      </w:r>
      <w:r>
        <w:rPr>
          <w:u w:val="single"/>
        </w:rPr>
        <w:t xml:space="preserve"> </w:t>
      </w:r>
      <w:r>
        <w:rPr>
          <w:u w:val="single"/>
        </w:rPr>
        <w:t xml:space="preserve"> </w:t>
      </w:r>
      <w:r>
        <w:rPr>
          <w:u w:val="single"/>
        </w:rPr>
        <w:t xml:space="preserve">PROGRAM ADMINISTRATION.  The community development financial institution administering the program shall provide capital access loans to small businesses that face barriers in accessing capital. </w:t>
      </w:r>
      <w:r>
        <w:rPr>
          <w:u w:val="single"/>
        </w:rPr>
        <w:t xml:space="preserve"> </w:t>
      </w:r>
      <w:r>
        <w:rPr>
          <w:u w:val="single"/>
        </w:rPr>
        <w:t xml:space="preserve">The institution administering the program shall give special emphasis to small businesses that have difficulty in accessing capital.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481.454.</w:t>
      </w:r>
      <w:r>
        <w:rPr>
          <w:u w:val="single"/>
        </w:rPr>
        <w:t xml:space="preserve"> </w:t>
      </w:r>
      <w:r>
        <w:rPr>
          <w:u w:val="single"/>
        </w:rPr>
        <w:t xml:space="preserve"> </w:t>
      </w:r>
      <w:r>
        <w:rPr>
          <w:u w:val="single"/>
        </w:rPr>
        <w:t xml:space="preserve">OVERSIGHT.  (a)  A community development financial institution participating in the program shall report quarterly to the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businesses that have received capital access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balance of all outstanding loans made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default rate on existing loans;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bank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community development financial institution participating in the program shall prepare a detailed financial statement each quarter.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community development financial institution shall allow the bank to inspect the institution's financial records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481.455.</w:t>
      </w:r>
      <w:r>
        <w:rPr>
          <w:u w:val="single"/>
        </w:rPr>
        <w:t xml:space="preserve"> </w:t>
      </w:r>
      <w:r>
        <w:rPr>
          <w:u w:val="single"/>
        </w:rPr>
        <w:t xml:space="preserve"> </w:t>
      </w:r>
      <w:r>
        <w:rPr>
          <w:u w:val="single"/>
        </w:rPr>
        <w:t xml:space="preserve">PROGRAM REPORT.  The bank shall issue an annual status report on the program.  The bank shall deliver its report to the governor, the lieutenant governor, the speaker of the house, and the standing committees of the legislature with primary jurisdiction for small business and economic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