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Hefner</w:t>
      </w:r>
      <w:r xml:space="preserve">
        <w:tab wTab="150" tlc="none" cTlc="0"/>
      </w:r>
      <w:r>
        <w:t xml:space="preserve">H.B.</w:t>
      </w:r>
      <w:r xml:space="preserve">
        <w:t> </w:t>
      </w:r>
      <w:r>
        <w:t xml:space="preserve">No.</w:t>
      </w:r>
      <w:r xml:space="preserve">
        <w:t> </w:t>
      </w:r>
      <w:r>
        <w:t xml:space="preserve">3946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im</w:t>
      </w:r>
      <w:r>
        <w:t xml:space="preserve">munity from liability of public and private schools and security personnel employed by those schools for certain actions of security personnel.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37, Education Code, is amended by adding Section 37.088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37.088.</w:t>
      </w:r>
      <w:r>
        <w:rPr>
          <w:u w:val="single"/>
        </w:rPr>
        <w:t xml:space="preserve"> </w:t>
      </w:r>
      <w:r>
        <w:rPr>
          <w:u w:val="single"/>
        </w:rPr>
        <w:t xml:space="preserve"> </w:t>
      </w:r>
      <w:r>
        <w:rPr>
          <w:u w:val="single"/>
        </w:rPr>
        <w:t xml:space="preserve">IMMUNITY FROM LIABILITY.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"Retired peace officer" has the meaning assigned by Section 1701.3161, Occupations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"Security personnel"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school district peace officer;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school marshal;</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school resource officer;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retired peace officer who:</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has been hired by a school district, open-enrollment charter school, or private school to provide security services;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volunteers to provide security services to the school district, open-enrollment charter school, or private school.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open-enrollment charter school, or private school is immune from liability for any damages resulting from any reasonable action taken by security personnel to maintain the safety of the school campus, including action relating to possession or use of a firearm.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open-enrollment charter school, or private school is immune from liability as provided by Subsection (b) for any damages resulting from any reasonable action taken by a school district, open-enrollment charter school, or private school employee who has written permission from the board of trustees of the school district or the governing body of the open-enrollment charter school or the private school to carry a firearm on campus.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Any security personnel employed by a school district, open-enrollment charter school, or private school is immune from liability for any damages resulting from any reasonable action taken by the security personnel to maintain the safety of the school campus, including action relating to possession or use of a firearm.</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statutory immunity provided by this section is in addition to and does not preempt the common law doctrine of official and governmental immunity.  To the extent that another statute provides greater immunity to a school district, open-enrollment charter school, or private school than this section, that statute prevails.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2019-2020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3946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