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86R13357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repossession of a motor vehicle after default on an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Finance Code, is amended by adding Chapter 355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355. REPOSSESSION OF MOTOR VEHICLES AFTER DEFAULT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"motor vehicle" has the meaning assigned by Section 348.001.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COLLECTION OF DEFICIENCY BALANCE AFTER REPOSSESSION SALE.  (a) Notwithstanding any other law, a lender or other person who repossesses a motor vehicle after a default under a loan, lease, or other agreement and who sells the vehicle to secure repayment of the debt is not entitled to collect from the borrower any amount for a deficiency balance resulting from the sale if the value of the vehicle is less than $2,000 unless the borrower: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damages the vehicle;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wrongfully fails, after default and demand, to make the vehicle available to the lender or other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(a), the value of a motor vehicle is the fair market value of the vehicle on the date of repossession.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