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86R8013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testimony of a person with a disability in certain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PERSON WITH DISABILITY.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with a disability" has the meaning assigned by Section 3, Article 38.072.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person" has the meaning assigned by Section 1, Article 38.074.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the testimony of a person with a disability in any hearing or proceeding in the prosecution of an offense under any of the following provisions of the Penal Code, other than a prosecution in which the person is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21 (Sexual Offenses) or 22 (Assaultive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25.02 (Prohibited Sexual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43.05(a) (Compelling Prostitution);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20A.02(a)(3), (4), (7), or (8) (Trafficking of Persons);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15.01 (Criminal Attempt), if the offense attempted is described by Subdivision (1), (2), (3), (4), or (5).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motion of any party, or a parent, managing conservator, guardian, or guardian ad litem of a person with a disability, the court shall allow the person to have a toy, blanket, or similar comforting item in the person's possession while testifying or allow a support person to be present in close proximity to the person with a disability during that person's testimony if the court finds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with a disability cannot reliably testify without the possession of the item or presence of the support person,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the motion is not likely to prejudice the trier of fact in evaluating the person's testimony.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support person who is present during the testimony of a person with a disability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obscure the person with a disability from the view of the defendant or the trier of fact;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disability with an answer to any question asked of the person;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or influence the testimony of the person with a disability.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set any other conditions and limitations on the taking of the testimony of a person with a disability that it finds just and appropriate, considering the interests of the person, the rights of the defendant, and any other relevant factors.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