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86R28429 ATP-F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H.B.</w:t>
      </w:r>
      <w:r xml:space="preserve">
        <w:t> </w:t>
      </w:r>
      <w:r>
        <w:t xml:space="preserve">No.</w:t>
      </w:r>
      <w:r xml:space="preserve">
        <w:t> </w:t>
      </w:r>
      <w:r>
        <w:t xml:space="preserve">3964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3964:</w:t>
      </w: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C.S.H.B.</w:t>
      </w:r>
      <w:r xml:space="preserve">
        <w:t> </w:t>
      </w:r>
      <w:r>
        <w:t xml:space="preserve">No.</w:t>
      </w:r>
      <w:r xml:space="preserve">
        <w:t> </w:t>
      </w:r>
      <w:r>
        <w:t xml:space="preserve">3964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location of countywide polling places within a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43.007(m), Election Code, is amended to read as follows:</w:t>
      </w:r>
    </w:p>
    <w:p w:rsidR="003F3435" w:rsidRDefault="0032493E">
      <w:pPr>
        <w:spacing w:line="480" w:lineRule="auto"/>
        <w:ind w:firstLine="720"/>
        <w:jc w:val="both"/>
      </w:pPr>
      <w:r>
        <w:t xml:space="preserve">(m)</w:t>
      </w:r>
      <w:r xml:space="preserve">
        <w:t> </w:t>
      </w:r>
      <w:r xml:space="preserve">
        <w:t> </w:t>
      </w:r>
      <w:r>
        <w:t xml:space="preserve">In adopting a methodology under Subsection (f), the county must ensure that:</w:t>
      </w:r>
    </w:p>
    <w:p w:rsidR="003F3435" w:rsidRDefault="0032493E">
      <w:pPr>
        <w:spacing w:line="480" w:lineRule="auto"/>
        <w:ind w:firstLine="1440"/>
        <w:jc w:val="both"/>
      </w:pPr>
      <w:r>
        <w:t xml:space="preserve">(1)</w:t>
      </w:r>
      <w:r xml:space="preserve">
        <w:t> </w:t>
      </w:r>
      <w:r xml:space="preserve">
        <w:t> </w:t>
      </w:r>
      <w:r>
        <w:rPr>
          <w:u w:val="single"/>
        </w:rPr>
        <w:t xml:space="preserve">in a county with a population of less than one million,</w:t>
      </w:r>
      <w:r>
        <w:t xml:space="preserve"> each county commissioners precinct contains at least one countywide polling place </w:t>
      </w:r>
      <w:r>
        <w:rPr>
          <w:u w:val="single"/>
        </w:rPr>
        <w:t xml:space="preserve">and the percentage of the total number of countywide polling places located in each commissioners precinct must be as equal as mathematically possible to the percentage of registered voters of the county whose registrations are effective on the date of the election residing in each commissioners precinct</w:t>
      </w:r>
      <w:r>
        <w:t xml:space="preserve">; </w:t>
      </w:r>
      <w:r>
        <w:rPr>
          <w:u w:val="single"/>
        </w:rPr>
        <w:t xml:space="preserve">or</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in a county with a population of one million or more, the percentage of the total number of countywide polling places located in each state representative district in the county containing territory in which the election is held must be as equal as mathematically possible to the percentage of registered voters of the county whose registrations are effective on the date of the election residing in each state representative district</w:t>
      </w:r>
      <w:r>
        <w:t xml:space="preserve"> [</w:t>
      </w:r>
      <w:r>
        <w:rPr>
          <w:strike/>
        </w:rPr>
        <w:t xml:space="preserve">the total number of permanent branch and temporary branch polling places open for voting in a county commissioners precinct does not exceed more than twice the number of permanent branch and temporary branch polling places in another county commissioners precinct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