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86R8633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3969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regulation of structured sober living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229, Local Government Code, is amended by adding Subchapter D to read as follows:</w:t>
      </w:r>
    </w:p>
    <w:p w:rsidR="003F3435" w:rsidRDefault="0032493E">
      <w:pPr>
        <w:spacing w:line="480" w:lineRule="auto"/>
        <w:jc w:val="center"/>
      </w:pPr>
      <w:r>
        <w:rPr>
          <w:u w:val="single"/>
        </w:rPr>
        <w:t xml:space="preserve">SUBCHAPTER D.  STRUCTURED SOBER LIVING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229.151.</w:t>
      </w:r>
      <w:r>
        <w:rPr>
          <w:u w:val="single"/>
        </w:rPr>
        <w:t xml:space="preserve"> </w:t>
      </w:r>
      <w:r>
        <w:rPr>
          <w:u w:val="single"/>
        </w:rPr>
        <w:t xml:space="preserve"> </w:t>
      </w:r>
      <w:r>
        <w:rPr>
          <w:u w:val="single"/>
        </w:rPr>
        <w:t xml:space="preserve">DEFINITION OF STRUCTURED SOBER LIVING HOME.  (a)  In this subchapter, "structured sober living home" means a program in which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alcohol-free or drug-free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promotes independent living and life skills development;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structured activities for recovery from substance abuse disorders in a supervised setting to a group of unrelated individuals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recovering from alcohol or drug addiction;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outpatient behavioral health services for substance abuse or addiction treatment while residing in the program's home.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"structured sober living home" does not include a person who requires a related family member to receive outpatient behavioral health services for substance abuse or addiction treatment as a condition of continuing to reside in the person's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229.152.</w:t>
      </w:r>
      <w:r>
        <w:rPr>
          <w:u w:val="single"/>
        </w:rPr>
        <w:t xml:space="preserve"> </w:t>
      </w:r>
      <w:r>
        <w:rPr>
          <w:u w:val="single"/>
        </w:rPr>
        <w:t xml:space="preserve"> </w:t>
      </w:r>
      <w:r>
        <w:rPr>
          <w:u w:val="single"/>
        </w:rPr>
        <w:t xml:space="preserve">REGULATION OF STRUCTURED SOBER LIVING HOMES.  (a)  A municipality by ordinance may adopt standards for structured sober living homes that comply with state and federal fair housing laws and the Americans with Disabilities Act of 1990 (42 U.S.C. Section 12101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Standards adopted under Subsection (a) may require structured sober living homes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residents and potential residents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property in which the home is operated;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property in which the home is operated: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property owner's name, address, and telephone number;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property is leased, a copy of the lease that states that the property is to be used as a structured sober living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 residents during all hours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maintain an operation plan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facilitate the rehabilitative process, including discharge planning;</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the maintenance of the property in which the home is operated;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municipal noise abatement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exempt a structured sober living home from the standards adopted under this section if the home is subject to adequate oversight by another governmental entity or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