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for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12.106(a-1) and (a-2),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In determining funding for an open-enrollment charter school under Subsection (a):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adjustments under Sections 42.102, 42.104, and 42.105 are based on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average adjustment for the state;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adjustment for the school district within whose boundaries the charter holder's campus with the greatest enrollment is located;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adjustment under Section 42.103 is based on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average adjustment for the state that would have been provided under that section as it existed on January 1, 2018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adjustment for the school district within whose boundaries the charter holder's campus with the greatest enrollment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In addition to the funding provided by Subsection (a), a charter holder is entitled to receive for the open-enrollment charter school enrichment funding under Section 42.302 based on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state average tax effort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effort of the school district within whose boundaries the charter holder's campus with the greatest enrollment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