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86R21463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donations to certain local nonprofit organizations ordered to be paid as a condition of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42A.304(f),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Instead of requiring the defendant to work a specified number of hours at one or more community service projects under Subsection (a), the judge may order a defendant to make a specified donation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nonprofit food bank or food pantry in the community in which the defendant 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charitable organization engaged primarily in performing charitable functions for veterans in the community in which the defendant resides;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a nonprofit organization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exempt from taxation under Section 501(a) of the Internal Revenue Code of 1986 because it is listed in Section 501(c)(3) of that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 supports drug courts serving the community in which the defendant resides;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in a county with a population of less than 50,000, another nonprofit organization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exempt from taxation under Section 501(a) of the Internal Revenue Code of 1986 because it is listed in Section 501(c)(3) of that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 services or assistance to needy individuals and families in the community in which the defendant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