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86R21463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3978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3978: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3978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donations to certain local nonprofit organizations ordered to be paid as a condition of community supervision.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42A.304(f),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Instead of requiring the defendant to work a specified number of hours at one or more community service projects under Subsection (a), the judge may order a defendant to make a specified donation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nonprofit food bank or food pantry in the community in which the defendant resides;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charitable organization engaged primarily in performing charitable functions for veterans in the community in which the defendant resides;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a nonprofit organization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exempt from taxation under Section 501(a) of the Internal Revenue Code of 1986 because it is listed in Section 501(c)(3) of that code;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 supports drug courts serving the community in which the defendant resides;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in a county with a population of less than 50,000, another nonprofit organization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exempt from taxation under Section 501(a) of the Internal Revenue Code of 1986 because it is listed in Section 501(c)(3) of that code;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provides services or assistance to needy individuals and families in the community in which the defendant resides.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3978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