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86R10660 JRR-F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H.B.</w:t>
      </w:r>
      <w:r xml:space="preserve">
        <w:t> </w:t>
      </w:r>
      <w:r>
        <w:t xml:space="preserve">No.</w:t>
      </w:r>
      <w:r xml:space="preserve">
        <w:t> </w:t>
      </w:r>
      <w:r>
        <w:t xml:space="preserve">3981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civil suits brought by local governments for violations of certain laws under the jurisdiction of, or rules adopted or orders or permits issued by, the Texas Commission on Environmental Quality.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7, Water Code, is amended by adding Sections 7.361 and 7.362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7.361.</w:t>
      </w:r>
      <w:r>
        <w:rPr>
          <w:u w:val="single"/>
        </w:rPr>
        <w:t xml:space="preserve"> </w:t>
      </w:r>
      <w:r>
        <w:rPr>
          <w:u w:val="single"/>
        </w:rPr>
        <w:t xml:space="preserve"> </w:t>
      </w:r>
      <w:r>
        <w:rPr>
          <w:u w:val="single"/>
        </w:rPr>
        <w:t xml:space="preserve">SETTLEMENT AUTHORITY.  The attorney general may settle in full satisfaction of the claims asserted a civil suit brought by a local government under this subchapter without the consent or approval of the local government: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an amount that is consistent with the policies of the state;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the direction of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7.362.</w:t>
      </w:r>
      <w:r>
        <w:rPr>
          <w:u w:val="single"/>
        </w:rPr>
        <w:t xml:space="preserve"> </w:t>
      </w:r>
      <w:r>
        <w:rPr>
          <w:u w:val="single"/>
        </w:rPr>
        <w:t xml:space="preserve"> </w:t>
      </w:r>
      <w:r>
        <w:rPr>
          <w:u w:val="single"/>
        </w:rPr>
        <w:t xml:space="preserve">PROHIBITION ON CERTAIN CONTINGENT FEE CONTRACTS.  A local government that is a public agency as defined by Section 30.003 may not enter into a contingent fee contract as defined by Section 2254.101, Government Code, for legal services associated with a civil suit brought under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civil suit under Subchapter H, Chapter 7, Water Code, that is filed on or after the effective date of this Act. A civil suit filed before the effective date of this Act is governed by the law in effect on the date the suit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