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86R27188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4000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4000: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4000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conducted by the Legislative Budget Board on the impact of federal educational mandates on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STUDY OF IMPACT OF FEDERAL EDUCATIONAL MANDATES ON SCHOOL DISTRICTS.  (a) </w:t>
      </w:r>
      <w:r>
        <w:t xml:space="preserve"> </w:t>
      </w:r>
      <w:r>
        <w:t xml:space="preserve">In this section, "federal educational mandate" means a federal statutory provision or a rule or regulation adopted under that provision the implementation of which requires an expenditure by a school district that would not have been required in the absence of the statutory provision or the rule or regulation adopted under that provision.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Legislative Budget Board, in coordination with the Texas Education Agency, shall conduct a study regarding the effect of federal educational mandates on school districts. </w:t>
      </w:r>
      <w:r>
        <w:t xml:space="preserve"> </w:t>
      </w:r>
      <w:r>
        <w:t xml:space="preserve">The study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cost-benefit analysis on the impact of school district compliance with federal educational mandates, including a comparison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direct and indirect costs incurred by a school district in complying with a federal educational mandate;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amount of funds received by the district or state from the federal government to comply with the mandate;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list of all federal educational mandates for which the federal government has not provided full payment or reimbursement that results in expenditures accrued by a school district or the state to comply with the federal educational mandate;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recommendations to reduce the burden of federal educational mandates on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REPORT.  Not later than December 31, 2020, the Legislative Budget Board shall deliver a report of the board's findings and recommendations to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February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</w:t>
      </w:r>
      <w:r>
        <w:t xml:space="preserve"> </w:t>
      </w:r>
      <w:r>
        <w:t xml:space="preserve"> 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4000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