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86R14198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concerning a shortage of primary care physicians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61.088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61.088.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REGARDING PRIMARY CARE PHYSICIAN SHORTAGE.  (a)  The board shall conduct a study regarding methods to mitigate or prevent a shortage in the number of primary care physicians practicing in this state. The study: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an analysis of whether requiring or incentivizing graduate medical education programs to increase the number of first-year residency positions leading to a medical specialty in family practice or primary care to 50 percent of first-year residency positions offered by the program will positively impact the number of physicians who practice primary care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 an analysis of the feasibility of providing additional funding for medical residencies for rural and community-based hospital family practice and primary care positions, including by providing funding for the repayment of student loans for physicians under Subchapter J.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