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86R13815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4004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improving educational outcomes for public school students of limited English proficiency.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29, Education Code, is amended by adding Section 29.068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29.068.</w:t>
      </w:r>
      <w:r>
        <w:rPr>
          <w:u w:val="single"/>
        </w:rPr>
        <w:t xml:space="preserve"> </w:t>
      </w:r>
      <w:r>
        <w:rPr>
          <w:u w:val="single"/>
        </w:rPr>
        <w:t xml:space="preserve"> </w:t>
      </w:r>
      <w:r>
        <w:rPr>
          <w:u w:val="single"/>
        </w:rPr>
        <w:t xml:space="preserve">STUDY ON IMPROVING EDUCATIONAL OUTCOMES FOR STUDENTS OF LIMITED ENGLISH PROFICIENCY.  (a)  In this section, "coordinating board" means the Texas Higher Education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and the coordinating board jointly shall conduct a study on improving educational outcomes for students of limited English proficiency.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study must analyze: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current practices of screening and placing students of limited English proficiency in a bilingual education or special language program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of students of limited English proficiency to access high quality prekindergarten programs operated under Subchapter E-1, including how the prekindergarten guidelines established by the agency may be better used to support learning for those students;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current practices for assessing English proficiency, including the effectiveness of assessing English proficiency: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the assessment system developed by the commissioner under Section 39.027(e);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reading instrument included on the list adopted by the commissioner for use in diagnosing the reading development and comprehension of kindergarten students under Section 28.006(b);</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 the tools used by a language proficiency assessment committee under Section 29.063 to monitor a student's progress;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with a reading assessment instrument administered under Section 39.023(a);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extent to which students of limited English proficiency who are also eligible for a special education program under Subchapter A are being provided equitable and quality early learning experiences through early childhood special education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difference in educational outcomes for students of limited English proficiency enrolled in each classification of bilingual education or special language program under Section 29.066, including an analysis of any demographic differences between the students primarily enrolled in each classification of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barriers to or limitations on the implementation by school districts of higher quality programming for students of limited English proficiency;</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teacher preparation programs at public institutions of higher education, including an analysis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course work and professional development requirements associated with teaching certificates appropriate for bilingual education instruction or for teaching English as a second language issued under Section 29.061;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methods for recruiting classroom teachers from diverse backgrounds to teach in bilingual education or special language programs;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feasibility of improving publicly available data used to track the educational outcomes of students of limited English proficiency.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2020, the agency and the coordinating board jointly shall submit to the legislature a report on the results of the study and any recommendations for legislative or other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