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86R18479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4006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4006:</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4006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licensing examination requirements for a journeyman lineman.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1305.101(a),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or commission, as appropriate, shall:</w:t>
      </w:r>
    </w:p>
    <w:p w:rsidR="003F3435" w:rsidRDefault="0032493E">
      <w:pPr>
        <w:spacing w:line="480" w:lineRule="auto"/>
        <w:ind w:firstLine="1440"/>
        <w:jc w:val="both"/>
      </w:pPr>
      <w:r>
        <w:t xml:space="preserve">(1)</w:t>
      </w:r>
      <w:r xml:space="preserve">
        <w:t> </w:t>
      </w:r>
      <w:r xml:space="preserve">
        <w:t> </w:t>
      </w:r>
      <w:r>
        <w:t xml:space="preserve">by rule establish the financial responsibility requirements for electrical contractors;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after publication of the National Electrical Code by the National Fire Protection Association every three years, adopt the revised National Electrical Code as the electrical code for the state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publication of the National Electrical Safety Code by the Institute of Electrical and Electronics Engineers every five years, adopt the revised National Electrical Safety Code for purposes of Section 1305.162(e)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1305.162(e),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 (b), an examination required for a license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journeyman industrial electrician under Section 1305.1601 may only test an applicant regarding activities performed by a journeyman industrial electrician at a location described by Section 1305.002(11-b)</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journeyman lineman under Section 1305.1605 may only test an applicant regarding activities performed by a journeyman lineman as described by the National Electrical Safety Code as adopted under Section 1305.101(a)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1305.162(e)(2), Occupations Code, as added by this Act, applies only to an examination for a journeyman lineman license administered on or after June 1, 2020.  An examination for a journeyman lineman license administered before that date is governed by the law in effect on the date the examination was administered,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March 1, 2020, the Texas Commission of Licensing and Regulation shall adopt rules necessary to implement Sections 1305.101(a)(3) and 1305.162(e)(2),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