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86R13029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4017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a handgun license of a person who is identified as a member of a criminal street gang.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 restricted under a court protective order or 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is not identified as a member of a criminal street gang in an intelligence database established under Chapter 67, Code of Criminal Procedure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the issuance or renewal of a license that is submitted to the Department of Public Safety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