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86R14313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locations at which a person is prohibited from carrying a weapon.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an institution of higher education or private or independent institution of higher education, on any grounds or building on which an activity sponsored by the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rPr>
          <w:u w:val="single"/>
        </w:rPr>
        <w:t xml:space="preserve">within 100 feet of</w:t>
      </w:r>
      <w:r>
        <w:t xml:space="preserve"> </w:t>
      </w:r>
      <w:r>
        <w:t xml:space="preserve">[</w:t>
      </w:r>
      <w:r>
        <w:rPr>
          <w:strike/>
        </w:rPr>
        <w:t xml:space="preserve">on</w:t>
      </w:r>
      <w:r>
        <w:t xml:space="preserve">] the premises of any government court or offices </w:t>
      </w:r>
      <w:r>
        <w:rPr>
          <w:u w:val="single"/>
        </w:rPr>
        <w:t xml:space="preserve">used</w:t>
      </w:r>
      <w:r>
        <w:t xml:space="preserve"> </w:t>
      </w:r>
      <w:r>
        <w:t xml:space="preserve">[</w:t>
      </w:r>
      <w:r>
        <w:rPr>
          <w:strike/>
        </w:rPr>
        <w:t xml:space="preserve">utilized</w:t>
      </w:r>
      <w:r>
        <w:t xml:space="preserve">]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