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w:t>
      </w:r>
      <w:r xml:space="preserve">
        <w:tab wTab="150" tlc="none" cTlc="0"/>
      </w:r>
      <w:r>
        <w:t xml:space="preserve">H.B.</w:t>
      </w:r>
      <w:r xml:space="preserve">
        <w:t> </w:t>
      </w:r>
      <w:r>
        <w:t xml:space="preserve">No.</w:t>
      </w:r>
      <w:r xml:space="preserve">
        <w:t> </w:t>
      </w:r>
      <w:r>
        <w:t xml:space="preserve">4024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ind w:end="720"/>
        <w:jc w:val="both"/>
      </w:pPr>
      <w:r>
        <w:t xml:space="preserve">relating to a prohibition on certain contracts with certain agents of foreign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22.019, Transportation Code, is amended to read as follows:</w:t>
      </w:r>
    </w:p>
    <w:p w:rsidR="003F3435" w:rsidRDefault="0032493E">
      <w:pPr>
        <w:spacing w:line="480" w:lineRule="auto"/>
        <w:ind w:firstLine="720"/>
        <w:jc w:val="both"/>
      </w:pPr>
      <w:r>
        <w:t xml:space="preserve">Sec.</w:t>
      </w:r>
      <w:r xml:space="preserve">
        <w:t> </w:t>
      </w:r>
      <w:r>
        <w:t xml:space="preserve">22.019.</w:t>
      </w:r>
      <w:r xml:space="preserve">
        <w:t> </w:t>
      </w:r>
      <w:r xml:space="preserve">
        <w:t> </w:t>
      </w:r>
      <w:r>
        <w:t xml:space="preserve">CONTRACTS. </w:t>
      </w:r>
      <w:r>
        <w:rPr>
          <w:u w:val="single"/>
        </w:rPr>
        <w:t xml:space="preserve">Except as provided by Section 22.0191, a</w:t>
      </w:r>
      <w:r>
        <w:t xml:space="preserve"> [</w:t>
      </w:r>
      <w:r>
        <w:rPr>
          <w:strike/>
        </w:rPr>
        <w:t xml:space="preserve">A</w:t>
      </w:r>
      <w:r>
        <w:t xml:space="preserve">] local government may enter into a contract necessary to the execution of a power granted the local government and for a purpose provided by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22, Transportation Code, is amended by adding Section 22.0191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22.0191.</w:t>
      </w:r>
      <w:r>
        <w:rPr>
          <w:u w:val="single"/>
        </w:rPr>
        <w:t xml:space="preserve"> </w:t>
      </w:r>
      <w:r>
        <w:rPr>
          <w:u w:val="single"/>
        </w:rPr>
        <w:t xml:space="preserve"> </w:t>
      </w:r>
      <w:r>
        <w:rPr>
          <w:u w:val="single"/>
        </w:rPr>
        <w:t xml:space="preserve">PROHIBITION ON CERTAIN CONTRACTS.  (a) </w:t>
      </w:r>
      <w:r>
        <w:rPr>
          <w:u w:val="single"/>
        </w:rPr>
        <w:t xml:space="preserve"> </w:t>
      </w:r>
      <w:r>
        <w:rPr>
          <w:u w:val="single"/>
        </w:rPr>
        <w:t xml:space="preserve">A local government or a person operating an airport on behalf of the local government may not enter into a contract with an entity described by Subsection (b) for the acquisition, construction, improvement, or renovation of airport infrastructure or equipment, including a terminal, security system, or passenger boarding bridge, used at the airport or an associated air navigation facility.</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entity that:</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been determined by a federal court to have misappropriated intellectual property or trade secrets from an entity organized under local, state, or federal laws;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owned in whole or in part by, or is controlled by, or receives subsidies from the government of a country that:</w:t>
      </w:r>
      <w:r>
        <w:t xml:space="preserve"> </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identified in the most recent report required by Section 182 of the Trade Act of 1974 (19 U.S.C. 2242) as a priority foreign country; or</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subject to monitoring by the United States trade representative under Section 306 of the Trade Act of 1974 (19 U.S.C. 2416);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entity that owns or controls, or is owned or controlled by, or is under common ownership with, or is a successor to an entity described by Subdivision (1).</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