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86R11843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charged to a school district by a water supply or sewer service corporation.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67, Water Code, is amended by adding Section 67.0115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67.0115.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FEES FOR SCHOOL DISTRICTS.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"impact fee" means a charge imposed by a corporation against new development to pay for capital improvements or facility expansions necessitated by the new development.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amortized charges, lump-sum charges, capital recovery fees, contributions in aid of construction, and any other fee that functions as described by this definition.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corporation may not charge a school district an impact fee or a fee to acquire water rights unless the board of trustees of the district enters into a contract with the corporation for payment of the fees. </w:t>
      </w:r>
      <w:r>
        <w:rPr>
          <w:u w:val="single"/>
        </w:rPr>
        <w:t xml:space="preserve"> </w:t>
      </w:r>
      <w:r>
        <w:rPr>
          <w:u w:val="single"/>
        </w:rPr>
        <w:t xml:space="preserve">The contract may contain terms the board of trustees considers advisable to provide for payment of the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