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86R13944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lottery account for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466.355,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not less than 50 percent of the total revenue received from the sale of tickets and license and application fees under this chapter shall be deposited to the credit of the foundation school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466.355, Government Code, as amended by this Act, applies only to a transfer from the state lottery account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