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86R14284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4042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municipal hotel occupancy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351.001(7), Tax Code, is amended to read as follows:</w:t>
      </w:r>
    </w:p>
    <w:p w:rsidR="003F3435" w:rsidRDefault="0032493E">
      <w:pPr>
        <w:spacing w:line="480" w:lineRule="auto"/>
        <w:ind w:firstLine="1440"/>
        <w:jc w:val="both"/>
      </w:pPr>
      <w:r>
        <w:t xml:space="preserve">(7)</w:t>
      </w:r>
      <w:r xml:space="preserve">
        <w:t> </w:t>
      </w:r>
      <w:r xml:space="preserve">
        <w:t> </w:t>
      </w:r>
      <w:r>
        <w:t xml:space="preserve">"Eligible central municipality" means:</w:t>
      </w:r>
    </w:p>
    <w:p w:rsidR="003F3435" w:rsidRDefault="0032493E">
      <w:pPr>
        <w:spacing w:line="480" w:lineRule="auto"/>
        <w:ind w:firstLine="2160"/>
        <w:jc w:val="both"/>
      </w:pPr>
      <w:r>
        <w:t xml:space="preserve">(A)</w:t>
      </w:r>
      <w:r xml:space="preserve">
        <w:t> </w:t>
      </w:r>
      <w:r xml:space="preserve">
        <w:t> </w:t>
      </w:r>
      <w:r>
        <w:t xml:space="preserve">a municipality with a population of more than 140,000 but less than 1.5 million that is located in a county with a population of one million or more and that has adopted a capital improvement plan for the construction or expansion of a convention center facility;</w:t>
      </w:r>
    </w:p>
    <w:p w:rsidR="003F3435" w:rsidRDefault="0032493E">
      <w:pPr>
        <w:spacing w:line="480" w:lineRule="auto"/>
        <w:ind w:firstLine="2160"/>
        <w:jc w:val="both"/>
      </w:pPr>
      <w:r>
        <w:t xml:space="preserve">(B)</w:t>
      </w:r>
      <w:r xml:space="preserve">
        <w:t> </w:t>
      </w:r>
      <w:r xml:space="preserve">
        <w:t> </w:t>
      </w:r>
      <w:r>
        <w:t xml:space="preserve">a municipality with a population of 250,000 or more that:</w:t>
      </w:r>
    </w:p>
    <w:p w:rsidR="003F3435" w:rsidRDefault="0032493E">
      <w:pPr>
        <w:spacing w:line="480" w:lineRule="auto"/>
        <w:ind w:firstLine="2880"/>
        <w:jc w:val="both"/>
      </w:pPr>
      <w:r>
        <w:t xml:space="preserve">(i)</w:t>
      </w:r>
      <w:r xml:space="preserve">
        <w:t> </w:t>
      </w:r>
      <w:r xml:space="preserve">
        <w:t> </w:t>
      </w:r>
      <w:r>
        <w:t xml:space="preserve">is located wholly or partly on a barrier island that borders the Gulf of Mexico;</w:t>
      </w:r>
    </w:p>
    <w:p w:rsidR="003F3435" w:rsidRDefault="0032493E">
      <w:pPr>
        <w:spacing w:line="480" w:lineRule="auto"/>
        <w:ind w:firstLine="2880"/>
        <w:jc w:val="both"/>
      </w:pPr>
      <w:r>
        <w:t xml:space="preserve">(ii)</w:t>
      </w:r>
      <w:r xml:space="preserve">
        <w:t> </w:t>
      </w:r>
      <w:r xml:space="preserve">
        <w:t> </w:t>
      </w:r>
      <w:r>
        <w:t xml:space="preserve">is located in a county with a population of 300,000 or more; and</w:t>
      </w:r>
    </w:p>
    <w:p w:rsidR="003F3435" w:rsidRDefault="0032493E">
      <w:pPr>
        <w:spacing w:line="480" w:lineRule="auto"/>
        <w:ind w:firstLine="2880"/>
        <w:jc w:val="both"/>
      </w:pPr>
      <w:r>
        <w:t xml:space="preserve">(iii)</w:t>
      </w:r>
      <w:r xml:space="preserve">
        <w:t> </w:t>
      </w:r>
      <w:r xml:space="preserve">
        <w:t> </w:t>
      </w:r>
      <w:r>
        <w:t xml:space="preserve">has adopted a capital improvement plan to expand an existing convention center facility;</w:t>
      </w:r>
    </w:p>
    <w:p w:rsidR="003F3435" w:rsidRDefault="0032493E">
      <w:pPr>
        <w:spacing w:line="480" w:lineRule="auto"/>
        <w:ind w:firstLine="2160"/>
        <w:jc w:val="both"/>
      </w:pPr>
      <w:r>
        <w:t xml:space="preserve">(C)</w:t>
      </w:r>
      <w:r xml:space="preserve">
        <w:t> </w:t>
      </w:r>
      <w:r xml:space="preserve">
        <w:t> </w:t>
      </w:r>
      <w:r>
        <w:t xml:space="preserve">a municipality with a population of 116,000 or more that:</w:t>
      </w:r>
    </w:p>
    <w:p w:rsidR="003F3435" w:rsidRDefault="0032493E">
      <w:pPr>
        <w:spacing w:line="480" w:lineRule="auto"/>
        <w:ind w:firstLine="2880"/>
        <w:jc w:val="both"/>
      </w:pPr>
      <w:r>
        <w:t xml:space="preserve">(i)</w:t>
      </w:r>
      <w:r xml:space="preserve">
        <w:t> </w:t>
      </w:r>
      <w:r xml:space="preserve">
        <w:t> </w:t>
      </w:r>
      <w:r>
        <w:t xml:space="preserve">is located in two counties both of which have a population of 660,000 or more; and</w:t>
      </w:r>
    </w:p>
    <w:p w:rsidR="003F3435" w:rsidRDefault="0032493E">
      <w:pPr>
        <w:spacing w:line="480" w:lineRule="auto"/>
        <w:ind w:firstLine="2880"/>
        <w:jc w:val="both"/>
      </w:pPr>
      <w:r>
        <w:t xml:space="preserve">(ii)</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2160"/>
        <w:jc w:val="both"/>
      </w:pPr>
      <w:r>
        <w:t xml:space="preserve">(D)</w:t>
      </w:r>
      <w:r xml:space="preserve">
        <w:t> </w:t>
      </w:r>
      <w:r xml:space="preserve">
        <w:t> </w:t>
      </w:r>
      <w:r>
        <w:t xml:space="preserve">a municipality with a population of less than 50,000 that contains a general academic teaching institution that is not a component institution of a university system, as those terms are defined by Section 61.003, Education Code;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a municipality with a population of 640,000 or more that:</w:t>
      </w:r>
    </w:p>
    <w:p w:rsidR="003F3435" w:rsidRDefault="0032493E">
      <w:pPr>
        <w:spacing w:line="480" w:lineRule="auto"/>
        <w:ind w:firstLine="2880"/>
        <w:jc w:val="both"/>
      </w:pPr>
      <w:r>
        <w:t xml:space="preserve">(i)</w:t>
      </w:r>
      <w:r xml:space="preserve">
        <w:t> </w:t>
      </w:r>
      <w:r xml:space="preserve">
        <w:t> </w:t>
      </w:r>
      <w:r>
        <w:t xml:space="preserve">is located on an international border; and</w:t>
      </w:r>
    </w:p>
    <w:p w:rsidR="003F3435" w:rsidRDefault="0032493E">
      <w:pPr>
        <w:spacing w:line="480" w:lineRule="auto"/>
        <w:ind w:firstLine="2880"/>
        <w:jc w:val="both"/>
      </w:pPr>
      <w:r>
        <w:t xml:space="preserve">(ii)</w:t>
      </w:r>
      <w:r xml:space="preserve">
        <w:t> </w:t>
      </w:r>
      <w:r xml:space="preserve">
        <w:t> </w:t>
      </w:r>
      <w:r>
        <w:t xml:space="preserve">has adopted a capital improvement plan for the construction or expansion of a convention center facility</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municipality that has a population of not more than 25,000, that contains a cultural heritage museum, and that is located in a county that borders the United Mexican States and the Gulf of Mexico</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351.101, Tax Code,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In addition to other authorized uses, a municipality that has a population of not more than 25,000, that contains a cultural heritage museum, and that is located in a county that borders the United Mexican States and the Gulf of Mexico may use revenue from the municipal hotel occupancy tax for the promotion of tourism by the enhancement and upgrading of an existing sports facility or field as specified by Subsection (a)(7), provided that the requirements of Subsections (a)(7)(A) and (C) are met.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