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86R5410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4050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immunizations requirements of privately owned and operated child-care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42.043, Human Resources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Subsection (d)(1), a privately owned and operated child-care facility regulated under this chapter may require each child admitted to the facility to be current on immunizations in accordance with the schedule adopted under Section 161.004, Health and Safety Code. The exemptions from immunization described by Subsection (d)(2) and Section 161.004(d)(1), Health and Safety Code, do not apply to children seeking admission to the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