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86R6378 KFF-F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4051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deaf-blind with multiple disabilities waiver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531.09731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531.09731.</w:t>
      </w:r>
      <w:r>
        <w:rPr>
          <w:u w:val="single"/>
        </w:rPr>
        <w:t xml:space="preserve"> </w:t>
      </w:r>
      <w:r>
        <w:rPr>
          <w:u w:val="single"/>
        </w:rPr>
        <w:t xml:space="preserve"> </w:t>
      </w:r>
      <w:r>
        <w:rPr>
          <w:u w:val="single"/>
        </w:rPr>
        <w:t xml:space="preserve">MINIMUM REIMBURSEMENT RATE FOR CERTAIN PROVIDERS UNDER DEAF-BLIND WITH MULTIPLE DISABILITIES WAIVER PROGRAM. The executive commissioner by rule shall establish minimum reimbursement rates for interveners and orientation and mobility specialists providing services under the deaf-blind with multiple disabilities waiver program.  The rates established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into account the provider's level of training, education, and experience;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adjusted annually for inflation.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161.078, Human Resources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increase the number of persons receiving home-based and community-based services under the deaf-blind with multiple disabilities waiver program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 for each of the state fiscal years ending August 31, 2020, and August 31, 2021;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subsequent state fiscal year beginning with the state fiscal year ending August 31, 2022, 10 percent of the number of recipients on the interest list for home-based and community-based services under the deaf-blind with multiple disabilities waiver program as determined on the first day of the applicable state fiscal year and rounded to the nearest whole number.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executive commissioner of the Health and Human Services Commission shall adopt the rules required under Section 531.09731, Government Code, as added by this Act, and ensure that the minimum reimbursement rates established for interveners and orientation and mobility specialists under the deaf-blind with multiple disabilities waiver program are based on the most recent full rate analysis conducted by the commission.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