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86R8521 JTS-D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Kacal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4053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authorization of the construction of an electric railway on or across a road, street, alley, square, or property of a county or municipality.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131.014(d),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rPr>
          <w:u w:val="single"/>
        </w:rPr>
        <w:t xml:space="preserve">A corporation described by Section 131.012 may not construct</w:t>
      </w:r>
      <w:r>
        <w:t xml:space="preserve"> [</w:t>
      </w:r>
      <w:r>
        <w:rPr>
          <w:strike/>
        </w:rPr>
        <w:t xml:space="preserve">This section does not authorize the construction of</w:t>
      </w:r>
      <w:r>
        <w:t xml:space="preserve">] an electric railway on or across a </w:t>
      </w:r>
      <w:r>
        <w:rPr>
          <w:u w:val="single"/>
        </w:rPr>
        <w:t xml:space="preserve">road,</w:t>
      </w:r>
      <w:r>
        <w:t xml:space="preserve"> street, alley, square, or property of a </w:t>
      </w:r>
      <w:r>
        <w:rPr>
          <w:u w:val="single"/>
        </w:rPr>
        <w:t xml:space="preserve">county or municipality unless the construction is approved by the governing body of the county or</w:t>
      </w:r>
      <w:r>
        <w:t xml:space="preserve"> municipality</w:t>
      </w:r>
      <w:r>
        <w:rPr>
          <w:u w:val="single"/>
        </w:rPr>
        <w:t xml:space="preserve">, as applicable</w:t>
      </w:r>
      <w:r>
        <w:t xml:space="preserve"> [</w:t>
      </w:r>
      <w:r>
        <w:rPr>
          <w:strike/>
        </w:rPr>
        <w:t xml:space="preserve">without the consent of the governing body of the municipality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4053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