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86R13517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4054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landowner petition to partition and transfer a geographic portion of a service area of an electric cooperative.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39, Utilities Code, is amended by adding Section 39.056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39.056.</w:t>
      </w:r>
      <w:r>
        <w:rPr>
          <w:u w:val="single"/>
        </w:rPr>
        <w:t xml:space="preserve"> </w:t>
      </w:r>
      <w:r>
        <w:rPr>
          <w:u w:val="single"/>
        </w:rPr>
        <w:t xml:space="preserve"> </w:t>
      </w:r>
      <w:r>
        <w:rPr>
          <w:u w:val="single"/>
        </w:rPr>
        <w:t xml:space="preserve">LANDOWNER PETITION TO TRANSFER TERRITORY TO COMPETITIVE RETAIL MARKET.  (a) </w:t>
      </w:r>
      <w:r>
        <w:rPr>
          <w:u w:val="single"/>
        </w:rPr>
        <w:t xml:space="preserve"> </w:t>
      </w:r>
      <w:r>
        <w:rPr>
          <w:u w:val="single"/>
        </w:rPr>
        <w:t xml:space="preserve">The owner of a parcel of land part of which is in an area open to competition in ERCOT and part of which is in the certificated service area of an electric cooperative created under Chapter 161 may petition the commission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partition the part of the land that is subject to the electric cooperative's certificate of convenience and necessity;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the land described by Subdivision (1) to the certificated service area of a transmission and distribution utility that serves the part of the land that is in the area open to competition;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amend accordingly the certificate of convenience and necessity of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electric cooperative;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transmission and distribution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provide the commission with an accurate description of the land as necessary to facilitate the requested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hold a hearing on the petition. If the commission determines the partition and transfer of territory is in the best interest of ratepayers, the commission shall approve the partition and conduct a proceeding to effectuate the transfer.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Through the proceeding, the commission shall determine the net book value of all of the cooperative's electric distribution assets attributable to the service area that is proposed to be transferred.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90th day after the date the commission determines the value of the cooperative's electric distribution assets attributable to the transferred service area, the transmission and distribution utility shall compensate the cooperative for the assets as directed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amend or issue certificates of convenience and necessity to implement the transfer of the service area.</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