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86R11647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program administered by the Railroad Commission of Texas to provide grants to promote pipeline emergency preparedness;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81, Natural Resources Code, is amended by adding Section 81.0715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81.0715.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PREPAREDNESS FEES AND GRANTS.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by rule shall establish pipeline emergency preparedness fees to be assessed for permits or registrations for pipelines under the jurisdiction of the commission's pipeline safety and regulatory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Fees collected under this section shall be deposited to the credit of a dedicated account in the general revenue fund. </w:t>
      </w:r>
      <w:r>
        <w:rPr>
          <w:u w:val="single"/>
        </w:rPr>
        <w:t xml:space="preserve"> </w:t>
      </w:r>
      <w:r>
        <w:rPr>
          <w:u w:val="single"/>
        </w:rPr>
        <w:t xml:space="preserve">Money in the account may be appropriated only for the purposes of the grant program established by this section and associated administrative expenses.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establish a grant program to provide funding for emergency preparedness expenses, such as the creation of evacuation plans for pipeline-related emergencies, such as spills or leaks.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provide a grant under this section only to a political subdivision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emergency services to respond to pipeline-related emergencies;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within five miles of a pipeline.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establish the fees in an amount necessary to provide a reasonable amount of funding for the grant program established by this section, based on emergency preparedness expenses typically required by political subdivisions for pipeline-related emergencies.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