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86R13757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4064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located in</w:t>
      </w:r>
      <w:r>
        <w:rPr>
          <w:u w:val="single"/>
        </w:rPr>
        <w:t xml:space="preserve"> </w:t>
      </w:r>
      <w:r>
        <w:rPr>
          <w:u w:val="single"/>
        </w:rPr>
        <w:t xml:space="preserve">a county described by Subsection (c)(3)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644.101(c),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w:t>
      </w:r>
      <w:r>
        <w:rPr>
          <w:u w:val="single"/>
        </w:rPr>
        <w:t xml:space="preserve">any of the following counties</w:t>
      </w:r>
      <w:r>
        <w:t xml:space="preserve"> [</w:t>
      </w:r>
      <w:r>
        <w:rPr>
          <w:strike/>
        </w:rPr>
        <w:t xml:space="preserve">a county bordering the United Mexican States or of a county with a population of 700,000 or more</w:t>
      </w:r>
      <w:r>
        <w:t xml:space="preserve">] is eligible to apply for certification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bordering the United Mexican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700,000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with a population of less than 100,000 that borders the State of Louisiana and the Gulf Intracoastal Waterway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644.102(f) and (f-1),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A municipality or county shall send to the comptroller the proceeds of all fines that exceed the limit imposed by Subsection (d) or (e).  The comptroller shall then deposit the remaining funds to the credit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highway fund if collected in a county described by Section 644.101(c)(3); or</w:t>
      </w:r>
    </w:p>
    <w:p w:rsidR="003F3435" w:rsidRDefault="0032493E">
      <w:pPr>
        <w:spacing w:line="480" w:lineRule="auto"/>
        <w:ind w:firstLine="1440"/>
        <w:jc w:val="both"/>
      </w:pPr>
      <w:r>
        <w:rPr>
          <w:u w:val="single"/>
        </w:rPr>
        <w:t xml:space="preserve">(2)</w:t>
      </w:r>
      <w:r xml:space="preserve">
        <w:t> </w:t>
      </w:r>
      <w:r xml:space="preserve">
        <w:t> </w:t>
      </w:r>
      <w:r>
        <w:t xml:space="preserve">the Texas Department of Transportation </w:t>
      </w:r>
      <w:r>
        <w:rPr>
          <w:u w:val="single"/>
        </w:rPr>
        <w:t xml:space="preserve">if collected in another county</w:t>
      </w:r>
      <w:r>
        <w:t xml:space="preserve">.</w:t>
      </w:r>
    </w:p>
    <w:p w:rsidR="003F3435" w:rsidRDefault="0032493E">
      <w:pPr>
        <w:spacing w:line="480" w:lineRule="auto"/>
        <w:ind w:firstLine="720"/>
        <w:jc w:val="both"/>
      </w:pPr>
      <w:r>
        <w:t xml:space="preserve">(f-1)</w:t>
      </w:r>
      <w:r xml:space="preserve">
        <w:t> </w:t>
      </w:r>
      <w:r xml:space="preserve">
        <w:t> </w:t>
      </w:r>
      <w:r>
        <w:t xml:space="preserve">A municipality or county that retains a fine from the enforcement of this chapter shall annually file with the comptroller a report that details the amount of fines retained from the enforcement of this chapter and the actual expenses claimed by the municipality or county for the enforcement of this chapter during the previous fiscal year.  A municipality or county that fails to file a report as required by this subsection shall send </w:t>
      </w:r>
      <w:r>
        <w:rPr>
          <w:u w:val="single"/>
        </w:rPr>
        <w:t xml:space="preserve">an amount equal to the amount retained by the municipality or county in the fiscal year the report would cover</w:t>
      </w:r>
      <w:r>
        <w:t xml:space="preserve"> to the comptroller for deposit to the credit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highway fund if collected in a county described by Section 644.101(c)(3); or</w:t>
      </w:r>
    </w:p>
    <w:p w:rsidR="003F3435" w:rsidRDefault="0032493E">
      <w:pPr>
        <w:spacing w:line="480" w:lineRule="auto"/>
        <w:ind w:firstLine="1440"/>
        <w:jc w:val="both"/>
      </w:pPr>
      <w:r>
        <w:rPr>
          <w:u w:val="single"/>
        </w:rPr>
        <w:t xml:space="preserve">(2)</w:t>
      </w:r>
      <w:r xml:space="preserve">
        <w:t> </w:t>
      </w:r>
      <w:r xml:space="preserve">
        <w:t> </w:t>
      </w:r>
      <w:r>
        <w:t xml:space="preserve">the Texas Department of Transportation </w:t>
      </w:r>
      <w:r>
        <w:rPr>
          <w:u w:val="single"/>
        </w:rPr>
        <w:t xml:space="preserve">if collected in another county</w:t>
      </w:r>
      <w:r>
        <w:t xml:space="preserve"> [</w:t>
      </w:r>
      <w:r>
        <w:rPr>
          <w:strike/>
        </w:rPr>
        <w:t xml:space="preserve">an amount equal to the amount retained by the municipality or county in the fiscal year the report would cover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fine collected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