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tenant liability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92, Property Code, is amended by adding Section 92.3516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92.3516.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 OF TENANT LIABILITY INSURANCE. </w:t>
      </w:r>
      <w:r>
        <w:rPr>
          <w:u w:val="single"/>
        </w:rPr>
        <w:t xml:space="preserve"> </w:t>
      </w:r>
      <w:r>
        <w:rPr>
          <w:u w:val="single"/>
        </w:rPr>
        <w:t xml:space="preserve">A landlord shall require a tenant to obtain or maintain during the lease term liability insurance in an amount not less than $100,000 for each occurrence of damage to the landlord's property caused by the tenant as a condition of the tenant's lease with the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92.3516, Property Code, as added by this Act, applies only to a lease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