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Thierry</w:t>
      </w:r>
      <w:r xml:space="preserve">
        <w:tab wTab="150" tlc="none" cTlc="0"/>
      </w:r>
      <w:r>
        <w:t xml:space="preserve">H.B.</w:t>
      </w:r>
      <w:r xml:space="preserve">
        <w:t> </w:t>
      </w:r>
      <w:r>
        <w:t xml:space="preserve">No.</w:t>
      </w:r>
      <w:r xml:space="preserve">
        <w:t> </w:t>
      </w:r>
      <w:r>
        <w:t xml:space="preserve">4070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passing a school bus;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545.066, Transportation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$500 or more than $1,250, except that the offense is:</w:t>
      </w:r>
    </w:p>
    <w:p w:rsidR="003F3435" w:rsidRDefault="0032493E">
      <w:pPr>
        <w:spacing w:line="480" w:lineRule="auto"/>
        <w:ind w:firstLine="1440"/>
        <w:jc w:val="both"/>
      </w:pPr>
      <w:r>
        <w:t xml:space="preserve">(1)</w:t>
      </w:r>
      <w:r xml:space="preserve">
        <w:t> </w:t>
      </w:r>
      <w:r xml:space="preserve">
        <w:t> </w:t>
      </w:r>
      <w:r>
        <w:t xml:space="preserve">a misdemeanor punishable by a fine of not less than $1,000 or more than $2,000 if the person is convicted of a second or subsequent offense under this section committed within five years of the date on which the most recent preceding offense was committed;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felony of the second degree</w:t>
      </w:r>
      <w:r>
        <w:t xml:space="preserve"> [</w:t>
      </w:r>
      <w:r>
        <w:rPr>
          <w:strike/>
        </w:rPr>
        <w:t xml:space="preserve">Class A misdemeanor</w:t>
      </w:r>
      <w:r>
        <w:t xml:space="preserve">] if the person causes serious bodily injury to another[</w:t>
      </w:r>
      <w:r>
        <w:rPr>
          <w:strike/>
        </w:rPr>
        <w:t xml:space="preserve">; or</w:t>
      </w:r>
    </w:p>
    <w:p w:rsidR="003F3435" w:rsidRDefault="0032493E">
      <w:pPr>
        <w:spacing w:line="480" w:lineRule="auto"/>
        <w:ind w:firstLine="1440"/>
        <w:jc w:val="both"/>
      </w:pPr>
      <w:r>
        <w:t xml:space="preserve">[</w:t>
      </w:r>
      <w:r>
        <w:rPr>
          <w:strike/>
        </w:rPr>
        <w:t xml:space="preserve">(3) a state jail felony if the person has been previously convicted under Subdivision (2)</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