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governmental entity commodity and telecommunications contracting and procurement.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2157.068(j),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following entities may purchase commodity items through the department, and be charged a reasonable administrative fee, as provided by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Electric Reliability Council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Lower Colorado River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private school, as defined by Section 5.001,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private or independent institution of higher education, as defined by Section 61.003, Education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volunteer fire department, as defined by Section 152.001, Tax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county, public hospital, or hospital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safety entity, as defined by 47 U.S.C. Section 1401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2170.004,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2170.004</w:t>
      </w:r>
      <w:r xml:space="preserve">
        <w:t> </w:t>
      </w:r>
      <w:r xml:space="preserve">
        <w:t> </w:t>
      </w:r>
      <w:r>
        <w:t xml:space="preserve">CONTRACTS WITH ENTITIES OTHER THAN STATE AGENCIES.  The department may contract for use of the consolidated telecommunications system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house of the legislature;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legislative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agency that is not a state agency as defined by Section 2151.002;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political subdivision, including a county, municipality, or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private institution of higher education accredited by a recognized accrediting agency, as defined by Section 61.003, Education Code[</w:t>
      </w:r>
      <w:r>
        <w:rPr>
          <w:strike/>
        </w:rPr>
        <w:t xml:space="preserve">, that: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engages in distance learning, as defined by Section 57.021, Utilities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receives federal funds for distance learning initiatives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assistance organization, as defined by Section 2175.001;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of another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safety entity, as defined by 47 U.S.C. Section 1401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