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Perez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Nelson)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4075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8,</w:t>
      </w:r>
      <w:r xml:space="preserve">
        <w:t> </w:t>
      </w:r>
      <w:r>
        <w:t xml:space="preserve">2019;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dissolution of fire control, prevention, and emergency medical services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344.260(a),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If less than a majority of the votes cast in a continuation referendum election are for the continuation of a district or if a majority of the votes cast in a dissolution referendum are for dissolution of the district: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board shall certify that fact to the secretary of state not later than the 10th day after the date of the canvass of the returns;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district is dissolved and ceases to operate </w:t>
      </w:r>
      <w:r>
        <w:rPr>
          <w:u w:val="single"/>
        </w:rPr>
        <w:t xml:space="preserve">as provided by Section 344.301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344.301,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344.301.</w:t>
      </w:r>
      <w:r xml:space="preserve">
        <w:t> </w:t>
      </w:r>
      <w:r xml:space="preserve">
        <w:t> </w:t>
      </w:r>
      <w:r>
        <w:t xml:space="preserve">TIME FOR DISSOLUTION OF DISTRICT.  (a)  A district is dissolved </w:t>
      </w:r>
      <w:r>
        <w:rPr>
          <w:u w:val="single"/>
        </w:rPr>
        <w:t xml:space="preserve">on the first uniform election date that occurs after the fifth anniversary of</w:t>
      </w:r>
      <w:r>
        <w:t xml:space="preserve"> [</w:t>
      </w:r>
      <w:r>
        <w:rPr>
          <w:strike/>
        </w:rPr>
        <w:t xml:space="preserve">five years after</w:t>
      </w:r>
      <w:r>
        <w:t xml:space="preserve">] the date the municipality began to impose taxes for district purposes if the district has not held a continuation or dissolution referendum.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district is dissolved on the </w:t>
      </w:r>
      <w:r>
        <w:rPr>
          <w:u w:val="single"/>
        </w:rPr>
        <w:t xml:space="preserve">first uniform election date that occurs after the</w:t>
      </w:r>
      <w:r>
        <w:t xml:space="preserve"> fifth anniversary of the date of the most recent continuation or dissolution referendum.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Subsection (b) does not apply to a district that is continued under Section 344.251(g), and that district is dissolved on the </w:t>
      </w:r>
      <w:r>
        <w:rPr>
          <w:u w:val="single"/>
        </w:rPr>
        <w:t xml:space="preserve">first uniform election date that occurs after the end</w:t>
      </w:r>
      <w:r>
        <w:t xml:space="preserve"> [</w:t>
      </w:r>
      <w:r>
        <w:rPr>
          <w:strike/>
        </w:rPr>
        <w:t xml:space="preserve">expiration</w:t>
      </w:r>
      <w:r>
        <w:t xml:space="preserve">] of the period for which it was continued.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