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86R13792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Education Agency regarding recommended standards for school district facility maintenance and custodial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"agency" means the Texas Education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RECOMMENDED STANDARDS FOR MAINTENANCE AND CUSTODIAL SERVICES.  (a) </w:t>
      </w:r>
      <w:r>
        <w:t xml:space="preserve"> </w:t>
      </w:r>
      <w:r>
        <w:t xml:space="preserve">The agency shall conduct a study regarding recommended standards for school district maintenance of facilities and custodial services, including a standard for appropriate custodial workloads to adequately maintain a school district's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agency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square footage of a typical elementary, middle, and high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square footage of administrative and district facilities other than instructional facilities in a typical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levels of custodial service to provide for proper maintenance of school district facilities;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time required for different levels of custodial service based on different numbers of custodial employees and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identify: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maintenance and custodial staff needed to adequately meet a typical school district's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tasks required to be completed by maintenance and custodial staff, including time estimates for completion of each task by an adequately equipped maintenance and custodial staff;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additional funding or other resources, if any, needed by school districts to meet the standards recommended by the study for school district maintenance of facilities and custodial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2020, the agency shall submit a report to the legislature that includes the results of the study conducted under Section 2 of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</w:t>
      </w:r>
      <w:r>
        <w:t xml:space="preserve">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