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86R9214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4098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reports of sexual assault made to public or private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51.9364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51.9364.</w:t>
      </w:r>
      <w:r>
        <w:rPr>
          <w:u w:val="single"/>
        </w:rPr>
        <w:t xml:space="preserve"> </w:t>
      </w:r>
      <w:r>
        <w:rPr>
          <w:u w:val="single"/>
        </w:rPr>
        <w:t xml:space="preserve"> </w:t>
      </w:r>
      <w:r>
        <w:rPr>
          <w:u w:val="single"/>
        </w:rPr>
        <w:t xml:space="preserve">REPORTS OF SEXUAL ASSAULT.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w:t>
      </w:r>
      <w:r>
        <w:rPr>
          <w:u w:val="single"/>
        </w:rPr>
        <w:t xml:space="preserve"> </w:t>
      </w:r>
      <w:r>
        <w:rPr>
          <w:u w:val="single"/>
        </w:rPr>
        <w:t xml:space="preserve">and "private or independent institution of higher education"</w:t>
      </w:r>
      <w:r>
        <w:rPr>
          <w:u w:val="single"/>
        </w:rPr>
        <w:t xml:space="preserve"> </w:t>
      </w:r>
      <w:r>
        <w:rPr>
          <w:u w:val="single"/>
        </w:rPr>
        <w:t xml:space="preserve">have the meanings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assault" means an offense under Section 22.011 or 22.021,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an institution of higher education or a private or independent institution of higher education that receives an allegation of sexual assault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perpetrator or a victim of the alleged sexual assault is a student enrolled at the institution;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alleged sexual assault occurred on the institution's campus or on any other property owned by or under the control of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an allegation described by Subsection (b), the institution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 the victim of the alleged sexual assault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requirements of this section,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institution's duty under this section to report the allegation to an appropriate local law enforcement agency within 72 hours if the victim gives permission;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use of a pseudonym form in connection with the report and the victim's right to request that the form not be used;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importance of preserving any evidence as proof for potential criminal proceedings;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victim's right to report or decline to report the allegation to the campus peace officers or to the local law enforcement agency, including the right to be assisted by the institution in making a report;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victim's right to seek a protective order under Chapter 7A, Code of Criminal Procedure, or an order for emergency protection under Article 17.292, Code of Criminal Procedure, and the institution's responsibilities, if any, in enforcing those orders;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victim's rights under Chapter 56, Code of Criminal Procedure, including the right to have a forensic medical examination conducted at no cost to the victim and where to obtain the examination;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applicable counseling, health, mental health, legal, victim advocacy, and other resources available to the victim at the institution or locally;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the victim's permission to report the allegation to an appropriate local law enforcement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victim of the alleged sexual assault gives permission under Subsection (c)(2), the institution shall report the allegation to an appropriate local law enforcement agency within 72 hours of receiving permission.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report under Subsection (d) must be made using the pseudonym form described by Article 57.02, Code of Criminal Procedure, unless the victim of the alleged sexual assault objects in writing to the submission of the form.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campus peace officers employed by the institution and the appropriate local law enforcement agency shall develop policies regarding an investigation into an allegation of sexual assault reported to the agency by the institution under Subsection (d). </w:t>
      </w:r>
      <w:r>
        <w:rPr>
          <w:u w:val="single"/>
        </w:rPr>
        <w:t xml:space="preserve"> </w:t>
      </w:r>
      <w:r>
        <w:rPr>
          <w:u w:val="single"/>
        </w:rPr>
        <w:t xml:space="preserve">The policies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cooperation of the officers and the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the respective roles of the officers and the agency in handling the investigation.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Texas Higher Education Coordinating Board shall adopt rules as necessary to implement and enforce this section, including rules for identifying institutions of higher education or private or independent institutions of higher education that fail to comply with this section.  The board shall post a list of noncompliant institutions on the board's Internet website and update the list at least once each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57.02, Code of Criminal Procedure,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institution of higher education or private or independent institution of higher education that reports an allegation of sexual assault as required by Section 51.9364, Education Code, shall complete and return a pseudonym form on behalf of the victim unless the victim objects in writing to the submission of the form. </w:t>
      </w:r>
      <w:r>
        <w:rPr>
          <w:u w:val="single"/>
        </w:rPr>
        <w:t xml:space="preserve"> </w:t>
      </w:r>
      <w:r>
        <w:rPr>
          <w:u w:val="single"/>
        </w:rPr>
        <w:t xml:space="preserve">A form completed and returned under this subsection operates as a form completed and returned by the victim for purposes of this article.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51.9363,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protocol for responding to reports of campus sexual assault adopted under Subsection (b) must comply with Section 51.9364.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August 1, 2020, the Texas Higher Education Coordinating Board shall post on the board's Internet website the initial list required by Section 51.9364(g), Education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