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86R27368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4104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4104:</w:t>
      </w: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C.S.H.B.</w:t>
      </w:r>
      <w:r xml:space="preserve">
        <w:t> </w:t>
      </w:r>
      <w:r>
        <w:t xml:space="preserve">No.</w:t>
      </w:r>
      <w:r xml:space="preserve">
        <w:t> </w:t>
      </w:r>
      <w:r>
        <w:t xml:space="preserve">4104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prostitution and to programs for certain defendants charged with or convicted of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42A.551, Code of Criminal Procedure, is amended by adding Subsection (a-1) and amending Subsection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(b), on the defendant's conviction of a state jail felony under Section 43.02(c)(2), Penal Code, that is punished under Section 12.35(a), Penal Code, the judge shall suspend the imposition of the sentence and place the defendant on community supervision.  This subsection does not apply to a defendant who has previously been convicted of any other state jail felony under Section 43.02(c)(2), Penal Code, that is punished under Section 12.35, Penal Code.</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to which Subsection (a-1) applies</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42A.554,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who places a defendant on community supervision under Article 42A.551(a-1) shall require, as a condition of community supervision, that the defendant submit to a term of confinement under Article 42A.555 and, while confined, participate in a program operated under Section 507.035,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55.01, Code of Criminal Procedure, is amended by amending Subsection (a) and adding Subsection (a-4)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w:t>
      </w:r>
      <w:r xml:space="preserve">
        <w:t> </w:t>
      </w:r>
      <w:r xml:space="preserve">
        <w:t> </w:t>
      </w:r>
      <w:r>
        <w:t xml:space="preserve">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pretrial intervention program authorized under Section 76.011, Government Code, other than </w:t>
      </w:r>
      <w:r>
        <w:rPr>
          <w:u w:val="single"/>
        </w:rPr>
        <w:t xml:space="preserve">specialty</w:t>
      </w:r>
      <w:r>
        <w:t xml:space="preserve"> </w:t>
      </w:r>
      <w:r>
        <w:t xml:space="preserve">[</w:t>
      </w:r>
      <w:r>
        <w:rPr>
          <w:strike/>
        </w:rPr>
        <w:t xml:space="preserve">a veterans treatment</w:t>
      </w:r>
      <w:r>
        <w:t xml:space="preserve">] court </w:t>
      </w:r>
      <w:r>
        <w:rPr>
          <w:u w:val="single"/>
        </w:rPr>
        <w:t xml:space="preserve">programs</w:t>
      </w:r>
      <w:r>
        <w:t xml:space="preserve"> </w:t>
      </w:r>
      <w:r>
        <w:t xml:space="preserve">[</w:t>
      </w:r>
      <w:r>
        <w:rPr>
          <w:strike/>
        </w:rPr>
        <w:t xml:space="preserve">program</w:t>
      </w:r>
      <w:r>
        <w:t xml:space="preserve">] created under Chapter 124 </w:t>
      </w:r>
      <w:r>
        <w:rPr>
          <w:u w:val="single"/>
        </w:rPr>
        <w:t xml:space="preserve">or 126</w:t>
      </w:r>
      <w:r>
        <w:t xml:space="preserve">, Government Code, or former law;</w:t>
      </w:r>
    </w:p>
    <w:p w:rsidR="003F3435" w:rsidRDefault="0032493E">
      <w:pPr>
        <w:spacing w:line="480" w:lineRule="auto"/>
        <w:ind w:firstLine="3600"/>
        <w:jc w:val="both"/>
      </w:pPr>
      <w:r>
        <w:t xml:space="preserve">(c)</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w:t>
      </w:r>
      <w:r>
        <w:rPr>
          <w:strike/>
        </w:rPr>
        <w:t xml:space="preserve">or</w:t>
      </w:r>
      <w:r>
        <w:t xml:space="preserve">]</w:t>
      </w:r>
    </w:p>
    <w:p w:rsidR="003F3435" w:rsidRDefault="0032493E">
      <w:pPr>
        <w:spacing w:line="480" w:lineRule="auto"/>
        <w:ind w:firstLine="3600"/>
        <w:jc w:val="both"/>
      </w:pPr>
      <w:r>
        <w:t xml:space="preserve">(d)</w:t>
      </w:r>
      <w:r xml:space="preserve">
        <w:t> </w:t>
      </w:r>
      <w:r xml:space="preserve">
        <w:t> </w:t>
      </w:r>
      <w:r>
        <w:t xml:space="preserve">the indictment or information was void; </w:t>
      </w:r>
      <w:r>
        <w:rPr>
          <w:u w:val="single"/>
        </w:rPr>
        <w:t xml:space="preserve">or</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the person completed a commercially sexually exploited persons court program created under Chapter 126, Government Code, or former law, subject to Subsection (a-4);</w:t>
      </w:r>
      <w:r>
        <w:t xml:space="preserve">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person is entitled under Subsection (a)(2)(A)(ii)(e) for an expunction of arrest records and files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previously received an expunction of arrest records and files under that sub-subparagraph;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submits to the court an affidavit attesting to that fact.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1a, Article 55.02,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trial court dismissing a case following a person's successful completion of a commercially sexually exploited persons court program created under Chapter 126, Government Code, or former law, if the trial court is a district court, or a district court in the county in which the trial court is located may, with the consent of the attorney representing the state, enter an order of expunction for a person entitled to expunction under Article 55.01(a)(2)(A)(ii)(e) not later than the 30th day after the date the court dismisses the case or receives the information regarding that dismissal, as applicable. Notwithstanding any other law, a court that enters an order for expunction under this subsection may not charge any fee or assess any cost for the expunction.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126.001,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a defendant </w:t>
      </w:r>
      <w:r>
        <w:rPr>
          <w:u w:val="single"/>
        </w:rPr>
        <w:t xml:space="preserve">who was convicted of or placed on deferred adjudication community supervision for an offense</w:t>
      </w:r>
      <w:r>
        <w:t xml:space="preserve"> </w:t>
      </w:r>
      <w:r>
        <w:t xml:space="preserve">successfully completes a commercially sexually exploited persons court program [</w:t>
      </w:r>
      <w:r>
        <w:rPr>
          <w:strike/>
        </w:rPr>
        <w:t xml:space="preserve">, regardless of whether the defendant was convicted of the offense for which the defendant entered the program or whether the court deferred further proceedings without entering an adjudication of guilt</w:t>
      </w:r>
      <w:r>
        <w:t xml:space="preserve">], after notice to the state and a hearing on whether the defendant is otherwise entitled to the petition, including whether the required time has elapsed, and whether issuance of the order is in the best interest of justice, the court shall enter an order of nondisclosure of criminal history record information under Subchapter E-1, Chapter 411, as if the defendant had received a discharge and dismissal under Article 42A.111, Code of Criminal Procedure, with respect to all records and files related to the defendant's arrest for the offense for which the defendant entered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defendant who was arrested for or charged with, but not convicted of or placed on deferred adjudication community supervision for, an offense successfully completes a commercially sexually exploited persons court program, after notice to the attorney representing the state and a hearing in the commercially sexually exploited persons court at which that court determines that a dismissal is in the best interest of justice, the commercially sexually exploited persons court shall provide to the court in which the criminal case is pending information about the dismissal and shall include all of the information required about the defendant for a petition for expunction under Section 2(b), Article 55.02, Code of Criminal Procedure.</w:t>
      </w:r>
      <w:r>
        <w:rPr>
          <w:u w:val="single"/>
        </w:rPr>
        <w:t xml:space="preserve"> </w:t>
      </w:r>
      <w:r>
        <w:rPr>
          <w:u w:val="single"/>
        </w:rPr>
        <w:t xml:space="preserve"> </w:t>
      </w:r>
      <w:r>
        <w:rPr>
          <w:u w:val="single"/>
        </w:rPr>
        <w:t xml:space="preserve">The court in which the criminal case is pending shall dismiss the case against the defendant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that trial court is a district court, the court may, with the consent of the attorney representing the state, enter an order of expunction on behalf of the defendant under Section 1a(a-2), Article 55.02,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1a(a-2), Article 55.02,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507, Government Code, is amended by adding Section 507.035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507.035.</w:t>
      </w:r>
      <w:r>
        <w:rPr>
          <w:u w:val="single"/>
        </w:rPr>
        <w:t xml:space="preserve"> </w:t>
      </w:r>
      <w:r>
        <w:rPr>
          <w:u w:val="single"/>
        </w:rPr>
        <w:t xml:space="preserve"> </w:t>
      </w:r>
      <w:r>
        <w:rPr>
          <w:u w:val="single"/>
        </w:rPr>
        <w:t xml:space="preserve">REHABILITATION PROGRAM FOR CERTAIN PROSTITUTION OFFENDERS.  (a)  The department, in consultation with the Health and Human Services Commission, shall establish and administer a rehabilitation program for defendants placed on community supervision and required to participate in the program under Article 42A.554(d),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and designed to efficiently rehabilitate defendants;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defendants with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life skills, job, and vocational training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drug and alcohol rehabilitation programs;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support group programs;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counseling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programs designed to facilitate the transition of defendants into society and to reduce incidents of recidivism;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house defendants participating in the program in a compassionate, safe, and secure environment that lacks the typical characteristics of a prison facility.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September 1, 2020, the Texas Department of Criminal Justice shall establish the rehabilitation program required by Section 507.035,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42A.551(a-1) and 42A.554(d), Code of Criminal Procedure, as added by this Act, apply only to an offense committed on or after September 1, 2020.  An offense committed before September 1, 2020, is governed by the law in effect immediately before the effective date of this Act, and the former law is continued in effect for that purpose. For purposes of this section, an offense was committed before September 1, 2020,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Articles 55.01 and 55.02, Code of Criminal Procedure, as amended by this Act, apply to the expunction of arrest records and files for a person who successfully completes a commercially sexually exploited persons court program under Chapter 126, Government Code, or former law before, on, or after the effective date of this Act, regardless of when the underlying arrest occurred.</w:t>
      </w:r>
    </w:p>
    <w:p w:rsidR="003F3435" w:rsidRDefault="0032493E">
      <w:pPr>
        <w:spacing w:line="480" w:lineRule="auto"/>
        <w:ind w:firstLine="720"/>
        <w:jc w:val="both"/>
      </w:pPr>
      <w:r>
        <w:t xml:space="preserve">(b)</w:t>
      </w:r>
      <w:r xml:space="preserve">
        <w:t> </w:t>
      </w:r>
      <w:r xml:space="preserve">
        <w:t> </w:t>
      </w:r>
      <w:r>
        <w:t xml:space="preserve">For a person who is entitled to expunction under Article 55.01(a)(2)(A)(ii)(e), Code of Criminal Procedure, as added by this Act, based on a successful completion of a commercially sexually exploited persons court program under Chapter 126, Government Code, or former law before the effective date of this Act, notwithstanding the 30-day time limit provided for the court to enter an automatic order of expunction under Section 1a(a-2), Article 55.02, Code of Criminal Procedure, as added by this Act, the court may, with the consent of the attorney representing the state,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